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22202" w14:textId="7ECC4170" w:rsidR="0010159B" w:rsidRDefault="0010159B" w:rsidP="0010159B">
      <w:pPr>
        <w:pStyle w:val="Heading2"/>
      </w:pPr>
      <w:r>
        <w:t>&lt;COVER PAGE&gt;</w:t>
      </w:r>
    </w:p>
    <w:p w14:paraId="084FD83B" w14:textId="77777777" w:rsidR="00B61D02" w:rsidRDefault="00563B93" w:rsidP="0010159B">
      <w:r>
        <w:t>&lt;</w:t>
      </w:r>
      <w:r w:rsidR="0010159B">
        <w:t>Text box in upper left corner</w:t>
      </w:r>
      <w:r>
        <w:t xml:space="preserve">&gt; </w:t>
      </w:r>
    </w:p>
    <w:p w14:paraId="3A8B1AE3" w14:textId="3B53EE8C" w:rsidR="0010159B" w:rsidRPr="001E64A8" w:rsidRDefault="00563B93" w:rsidP="001E64A8">
      <w:pPr>
        <w:spacing w:after="0" w:line="240" w:lineRule="auto"/>
        <w:rPr>
          <w:b/>
          <w:bCs/>
        </w:rPr>
      </w:pPr>
      <w:r w:rsidRPr="001E64A8">
        <w:rPr>
          <w:b/>
          <w:bCs/>
          <w:color w:val="C00000"/>
        </w:rPr>
        <w:t xml:space="preserve">Phase 2 Draft: </w:t>
      </w:r>
      <w:r w:rsidRPr="001E64A8">
        <w:rPr>
          <w:b/>
          <w:bCs/>
        </w:rPr>
        <w:t xml:space="preserve">Released May </w:t>
      </w:r>
      <w:r w:rsidR="00E91E3C">
        <w:rPr>
          <w:b/>
          <w:bCs/>
        </w:rPr>
        <w:t>1</w:t>
      </w:r>
      <w:r w:rsidR="00B61D02" w:rsidRPr="001E64A8">
        <w:rPr>
          <w:b/>
          <w:bCs/>
        </w:rPr>
        <w:t>, 2025</w:t>
      </w:r>
    </w:p>
    <w:p w14:paraId="416C7A38" w14:textId="3DD7E5EE" w:rsidR="00B61D02" w:rsidRPr="001E64A8" w:rsidRDefault="00B61D02" w:rsidP="001E64A8">
      <w:pPr>
        <w:spacing w:after="0" w:line="240" w:lineRule="auto"/>
        <w:rPr>
          <w:b/>
          <w:bCs/>
        </w:rPr>
      </w:pPr>
      <w:r w:rsidRPr="001E64A8">
        <w:rPr>
          <w:b/>
          <w:bCs/>
        </w:rPr>
        <w:t>Industry comment period ends: May 3</w:t>
      </w:r>
      <w:r w:rsidR="0047058A" w:rsidRPr="001E64A8">
        <w:rPr>
          <w:b/>
          <w:bCs/>
        </w:rPr>
        <w:t>0, 2025</w:t>
      </w:r>
    </w:p>
    <w:p w14:paraId="7FC6A436" w14:textId="4AFA4C3E" w:rsidR="0047058A" w:rsidRDefault="0047058A" w:rsidP="0006168B">
      <w:pPr>
        <w:spacing w:after="0" w:line="240" w:lineRule="auto"/>
        <w:rPr>
          <w:b/>
          <w:bCs/>
        </w:rPr>
      </w:pPr>
      <w:r w:rsidRPr="001E64A8">
        <w:rPr>
          <w:b/>
          <w:bCs/>
        </w:rPr>
        <w:t xml:space="preserve">Submit comments to </w:t>
      </w:r>
      <w:hyperlink r:id="rId11" w:history="1">
        <w:r w:rsidR="00A212CC" w:rsidRPr="003B1858">
          <w:rPr>
            <w:b/>
            <w:bCs/>
          </w:rPr>
          <w:t>regionalplans@visitcalifornia.com</w:t>
        </w:r>
      </w:hyperlink>
    </w:p>
    <w:p w14:paraId="7DD4BA98" w14:textId="77777777" w:rsidR="00A212CC" w:rsidRPr="001E64A8" w:rsidRDefault="00A212CC" w:rsidP="0006168B">
      <w:pPr>
        <w:spacing w:after="0" w:line="240" w:lineRule="auto"/>
      </w:pPr>
    </w:p>
    <w:p w14:paraId="73B250CE" w14:textId="6E0B6FF5" w:rsidR="00E41C37" w:rsidRDefault="0026294F" w:rsidP="0006168B">
      <w:pPr>
        <w:spacing w:after="0" w:line="240" w:lineRule="auto"/>
      </w:pPr>
      <w:r>
        <w:t xml:space="preserve">&lt;IMAGE&gt; </w:t>
      </w:r>
      <w:hyperlink r:id="rId12" w:history="1">
        <w:r w:rsidR="00B44DF9" w:rsidRPr="000026FA">
          <w:rPr>
            <w:rStyle w:val="Hyperlink"/>
          </w:rPr>
          <w:t>https://assets.visitcalifornia.com/media/?mediaId=E35717D0-ADAA-4E28-B9A9388EC158A101</w:t>
        </w:r>
      </w:hyperlink>
      <w:r w:rsidR="00B44DF9">
        <w:t xml:space="preserve"> </w:t>
      </w:r>
    </w:p>
    <w:p w14:paraId="204FA717" w14:textId="381AB584" w:rsidR="00822D4D" w:rsidRPr="001E64A8" w:rsidRDefault="00DD75ED" w:rsidP="0006168B">
      <w:pPr>
        <w:spacing w:after="0" w:line="240" w:lineRule="auto"/>
      </w:pPr>
      <w:r>
        <w:t xml:space="preserve"> </w:t>
      </w:r>
    </w:p>
    <w:p w14:paraId="489667F8" w14:textId="2C82499F" w:rsidR="00822D4D" w:rsidRDefault="00822D4D" w:rsidP="0006168B">
      <w:pPr>
        <w:spacing w:after="0" w:line="240" w:lineRule="auto"/>
      </w:pPr>
    </w:p>
    <w:p w14:paraId="6B6F51D9" w14:textId="0455B850" w:rsidR="00E262E1" w:rsidRPr="001E64A8" w:rsidRDefault="00B44DF9" w:rsidP="0006168B">
      <w:pPr>
        <w:spacing w:after="0" w:line="240" w:lineRule="auto"/>
      </w:pPr>
      <w:r>
        <w:fldChar w:fldCharType="begin"/>
      </w:r>
      <w:r>
        <w:instrText xml:space="preserve"> INCLUDEPICTURE "https://d3k2f0s3vqqs9o.cloudfront.net/media/8EB77727-5C3F-469F-BD57066B416B5405/E35717D0-ADAA-4E28-B9A9388EC158A101/webimage-E5C33480-E388-42C9-986DEB7790456438.png" \* MERGEFORMATINET </w:instrText>
      </w:r>
      <w:r>
        <w:fldChar w:fldCharType="separate"/>
      </w:r>
      <w:r>
        <w:rPr>
          <w:noProof/>
        </w:rPr>
        <w:drawing>
          <wp:inline distT="0" distB="0" distL="0" distR="0" wp14:anchorId="7E54FEEF" wp14:editId="4D92F680">
            <wp:extent cx="4118579" cy="3656965"/>
            <wp:effectExtent l="0" t="0" r="0" b="635"/>
            <wp:docPr id="1041019000" name="Picture 15" descr="LosAngeles&amp;#95;AerialSkylineView&amp;#95;2024&amp;#95;DavidCo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sAngeles&amp;#95;AerialSkylineView&amp;#95;2024&amp;#95;DavidCollier"/>
                    <pic:cNvPicPr>
                      <a:picLocks noChangeAspect="1" noChangeArrowheads="1"/>
                    </pic:cNvPicPr>
                  </pic:nvPicPr>
                  <pic:blipFill rotWithShape="1">
                    <a:blip r:embed="rId13">
                      <a:extLst>
                        <a:ext uri="{28A0092B-C50C-407E-A947-70E740481C1C}">
                          <a14:useLocalDpi xmlns:a14="http://schemas.microsoft.com/office/drawing/2010/main" val="0"/>
                        </a:ext>
                      </a:extLst>
                    </a:blip>
                    <a:srcRect l="20509" r="4465"/>
                    <a:stretch/>
                  </pic:blipFill>
                  <pic:spPr bwMode="auto">
                    <a:xfrm>
                      <a:off x="0" y="0"/>
                      <a:ext cx="4119294" cy="36576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BFDA0D4" w14:textId="77777777" w:rsidR="00822D4D" w:rsidRPr="001E64A8" w:rsidRDefault="00822D4D" w:rsidP="0006168B">
      <w:pPr>
        <w:spacing w:after="0" w:line="240" w:lineRule="auto"/>
      </w:pPr>
    </w:p>
    <w:p w14:paraId="77323010" w14:textId="34220CFE" w:rsidR="00A212CC" w:rsidRPr="001E64A8" w:rsidRDefault="74B76C31" w:rsidP="003B1858">
      <w:pPr>
        <w:pStyle w:val="Heading2"/>
      </w:pPr>
      <w:r>
        <w:t xml:space="preserve">Resilience </w:t>
      </w:r>
      <w:r w:rsidR="541FF44F">
        <w:t xml:space="preserve">and </w:t>
      </w:r>
      <w:r>
        <w:t>sustainability scorecard</w:t>
      </w:r>
    </w:p>
    <w:p w14:paraId="48068F14" w14:textId="25EC1E8E" w:rsidR="00A212CC" w:rsidRPr="00F37BB9" w:rsidRDefault="00274256" w:rsidP="003B1858">
      <w:pPr>
        <w:pStyle w:val="Heading1"/>
        <w:rPr>
          <w:b/>
          <w:bCs/>
        </w:rPr>
      </w:pPr>
      <w:r>
        <w:rPr>
          <w:b/>
          <w:bCs/>
        </w:rPr>
        <w:t>Los Angeles County</w:t>
      </w:r>
    </w:p>
    <w:p w14:paraId="2BFC480D" w14:textId="77777777" w:rsidR="00A212CC" w:rsidRPr="003B1858" w:rsidRDefault="00A212CC" w:rsidP="0006168B">
      <w:pPr>
        <w:spacing w:after="0" w:line="240" w:lineRule="auto"/>
      </w:pPr>
    </w:p>
    <w:p w14:paraId="7C197604" w14:textId="1808B7D9" w:rsidR="00A212CC" w:rsidRDefault="00A212CC" w:rsidP="00822D4D">
      <w:pPr>
        <w:spacing w:after="0" w:line="240" w:lineRule="auto"/>
        <w:jc w:val="right"/>
      </w:pPr>
      <w:r w:rsidRPr="003B1858">
        <w:t>May 202</w:t>
      </w:r>
      <w:r w:rsidR="00822D4D" w:rsidRPr="003B1858">
        <w:t>5</w:t>
      </w:r>
    </w:p>
    <w:p w14:paraId="5939BEC5" w14:textId="77777777" w:rsidR="00253AF5" w:rsidRDefault="00253AF5" w:rsidP="00822D4D">
      <w:pPr>
        <w:spacing w:after="0" w:line="240" w:lineRule="auto"/>
        <w:jc w:val="right"/>
        <w:sectPr w:rsidR="00253AF5" w:rsidSect="001E64A8">
          <w:headerReference w:type="default" r:id="rId14"/>
          <w:footerReference w:type="default" r:id="rId15"/>
          <w:headerReference w:type="first" r:id="rId16"/>
          <w:footerReference w:type="first" r:id="rId17"/>
          <w:pgSz w:w="12240" w:h="15840"/>
          <w:pgMar w:top="1440" w:right="1080" w:bottom="1440" w:left="1080" w:header="720" w:footer="720" w:gutter="0"/>
          <w:cols w:space="720"/>
          <w:titlePg/>
          <w:docGrid w:linePitch="360"/>
        </w:sectPr>
      </w:pPr>
    </w:p>
    <w:p w14:paraId="6134197E" w14:textId="7CFBEA8D" w:rsidR="0047058A" w:rsidRDefault="00253AF5" w:rsidP="00253AF5">
      <w:pPr>
        <w:pStyle w:val="Heading2"/>
      </w:pPr>
      <w:r>
        <w:lastRenderedPageBreak/>
        <w:t>&lt;INSIDE COVER</w:t>
      </w:r>
      <w:r w:rsidR="000707D7">
        <w:t>&gt;</w:t>
      </w:r>
    </w:p>
    <w:p w14:paraId="40C70C97" w14:textId="1D43925A" w:rsidR="000707D7" w:rsidRPr="00297F7A" w:rsidRDefault="00D36AF1" w:rsidP="000707D7">
      <w:r w:rsidRPr="00297F7A">
        <w:t>&lt;Text box on left side of page&gt;</w:t>
      </w:r>
    </w:p>
    <w:p w14:paraId="73B55BE7" w14:textId="0EC880A0" w:rsidR="00297F7A" w:rsidRPr="003B1858" w:rsidRDefault="17492271" w:rsidP="00297F7A">
      <w:pPr>
        <w:pStyle w:val="Pa4"/>
        <w:spacing w:after="140"/>
        <w:rPr>
          <w:sz w:val="22"/>
          <w:szCs w:val="22"/>
        </w:rPr>
      </w:pPr>
      <w:r w:rsidRPr="177858A2">
        <w:rPr>
          <w:sz w:val="22"/>
          <w:szCs w:val="22"/>
        </w:rPr>
        <w:t xml:space="preserve">The development of these regional </w:t>
      </w:r>
      <w:r w:rsidR="69583827" w:rsidRPr="177858A2">
        <w:rPr>
          <w:sz w:val="22"/>
          <w:szCs w:val="22"/>
        </w:rPr>
        <w:t xml:space="preserve">scorecards </w:t>
      </w:r>
      <w:r w:rsidRPr="177858A2">
        <w:rPr>
          <w:sz w:val="22"/>
          <w:szCs w:val="22"/>
        </w:rPr>
        <w:t xml:space="preserve">was funded by a State Tourism Grant awarded to Visit California as part of the U.S. Economic Development Administration’s Travel, Tourism and Outdoor Recreation program. The program invested federal funds appropriated by the American Rescue Plan Act to support states and communities whose tourism economy was damaged by the COVID-19 pandemic. </w:t>
      </w:r>
    </w:p>
    <w:p w14:paraId="0F93AB40" w14:textId="6E38C85D" w:rsidR="00297F7A" w:rsidRPr="003B1858" w:rsidRDefault="17492271" w:rsidP="00297F7A">
      <w:pPr>
        <w:pStyle w:val="Pa4"/>
        <w:spacing w:after="140"/>
        <w:rPr>
          <w:sz w:val="22"/>
          <w:szCs w:val="22"/>
        </w:rPr>
      </w:pPr>
      <w:proofErr w:type="gramStart"/>
      <w:r w:rsidRPr="177858A2">
        <w:rPr>
          <w:sz w:val="22"/>
          <w:szCs w:val="22"/>
        </w:rPr>
        <w:t>The majority of</w:t>
      </w:r>
      <w:proofErr w:type="gramEnd"/>
      <w:r w:rsidRPr="177858A2">
        <w:rPr>
          <w:sz w:val="22"/>
          <w:szCs w:val="22"/>
        </w:rPr>
        <w:t xml:space="preserve"> the grant funds were used to directly support tourism recovery through marketing initiatives. With the EDA’s oversight, a portion of the grant was directed to the development of these </w:t>
      </w:r>
      <w:r w:rsidR="69583827" w:rsidRPr="177858A2">
        <w:rPr>
          <w:sz w:val="22"/>
          <w:szCs w:val="22"/>
        </w:rPr>
        <w:t>scorecards</w:t>
      </w:r>
      <w:r w:rsidRPr="177858A2">
        <w:rPr>
          <w:sz w:val="22"/>
          <w:szCs w:val="22"/>
        </w:rPr>
        <w:t xml:space="preserve">, which are designed to build a more resilient travel and tourism sector in California. </w:t>
      </w:r>
    </w:p>
    <w:p w14:paraId="2E93027E" w14:textId="2F1D732B" w:rsidR="00D36AF1" w:rsidRPr="003B1858" w:rsidRDefault="17492271" w:rsidP="00297F7A">
      <w:r>
        <w:t>Visit California extends its gratitude to the diverse project teams, strategic partners and industry experts whose contributions were instrumental throughout the two-year process.</w:t>
      </w:r>
    </w:p>
    <w:p w14:paraId="0C594820" w14:textId="2CEA6C10" w:rsidR="00297F7A" w:rsidRPr="003B1858" w:rsidRDefault="00297F7A" w:rsidP="00297F7A">
      <w:r w:rsidRPr="003B1858">
        <w:t>&lt;Project partner logos&gt;</w:t>
      </w:r>
    </w:p>
    <w:p w14:paraId="3D74A564" w14:textId="4A7B5EA4" w:rsidR="00297F7A" w:rsidRDefault="00297F7A" w:rsidP="00297F7A">
      <w:r>
        <w:t xml:space="preserve">&lt;PAGE IMAGE&gt; </w:t>
      </w:r>
      <w:hyperlink r:id="rId18" w:history="1">
        <w:r w:rsidR="00934DF1" w:rsidRPr="000026FA">
          <w:rPr>
            <w:rStyle w:val="Hyperlink"/>
          </w:rPr>
          <w:t>https://assets.visitcalifornia.com/media/?mediaId=EBF4ED23-1C19-4A72-A66C4B4882250563</w:t>
        </w:r>
      </w:hyperlink>
      <w:r w:rsidR="00934DF1">
        <w:t xml:space="preserve"> </w:t>
      </w:r>
    </w:p>
    <w:p w14:paraId="24BD125C" w14:textId="4D252A8B" w:rsidR="00E262E1" w:rsidRPr="003B1858" w:rsidRDefault="00263BEC" w:rsidP="00297F7A">
      <w:r>
        <w:fldChar w:fldCharType="begin"/>
      </w:r>
      <w:r>
        <w:instrText xml:space="preserve"> INCLUDEPICTURE "https://d3k2f0s3vqqs9o.cloudfront.net/media/8EB77727-5C3F-469F-BD57066B416B5405/EBF4ED23-1C19-4A72-A66C4B4882250563/webimage-6B11F087-C447-4029-A2097AF49A59B281.png" \* MERGEFORMATINET </w:instrText>
      </w:r>
      <w:r>
        <w:fldChar w:fldCharType="separate"/>
      </w:r>
      <w:r>
        <w:rPr>
          <w:noProof/>
        </w:rPr>
        <w:drawing>
          <wp:inline distT="0" distB="0" distL="0" distR="0" wp14:anchorId="09596157" wp14:editId="6F3E7842">
            <wp:extent cx="2953091" cy="3596724"/>
            <wp:effectExtent l="0" t="0" r="6350" b="0"/>
            <wp:docPr id="916068116" name="Picture 11" descr="LuxuryPressTrip&amp;#95;RodeoDrive&amp;#95;2024&amp;#95;MaxWhit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xuryPressTrip&amp;#95;RodeoDrive&amp;#95;2024&amp;#95;MaxWhittaker"/>
                    <pic:cNvPicPr>
                      <a:picLocks noChangeAspect="1" noChangeArrowheads="1"/>
                    </pic:cNvPicPr>
                  </pic:nvPicPr>
                  <pic:blipFill rotWithShape="1">
                    <a:blip r:embed="rId19">
                      <a:extLst>
                        <a:ext uri="{28A0092B-C50C-407E-A947-70E740481C1C}">
                          <a14:useLocalDpi xmlns:a14="http://schemas.microsoft.com/office/drawing/2010/main" val="0"/>
                        </a:ext>
                      </a:extLst>
                    </a:blip>
                    <a:srcRect t="13818" b="4989"/>
                    <a:stretch/>
                  </pic:blipFill>
                  <pic:spPr bwMode="auto">
                    <a:xfrm>
                      <a:off x="0" y="0"/>
                      <a:ext cx="2953512" cy="359723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5E7F6C1" w14:textId="0DF62467" w:rsidR="00297F7A" w:rsidRDefault="01EDA5B3" w:rsidP="003B1858">
      <w:r>
        <w:t xml:space="preserve">&lt;Image text box in lower left corner&gt; </w:t>
      </w:r>
      <w:r w:rsidR="00E4118E">
        <w:t>Rodeo Drive</w:t>
      </w:r>
    </w:p>
    <w:p w14:paraId="6ED09880" w14:textId="77777777" w:rsidR="00BA15AC" w:rsidRDefault="00BA15AC" w:rsidP="003B1858">
      <w:pPr>
        <w:sectPr w:rsidR="00BA15AC" w:rsidSect="00820ED4">
          <w:headerReference w:type="first" r:id="rId20"/>
          <w:footerReference w:type="first" r:id="rId21"/>
          <w:pgSz w:w="12240" w:h="15840"/>
          <w:pgMar w:top="1440" w:right="1080" w:bottom="1440" w:left="1080" w:header="720" w:footer="720" w:gutter="0"/>
          <w:cols w:space="720"/>
          <w:docGrid w:linePitch="360"/>
        </w:sectPr>
      </w:pPr>
    </w:p>
    <w:p w14:paraId="52481F09" w14:textId="49FCCA84" w:rsidR="00820ED4" w:rsidRPr="002E45A9" w:rsidRDefault="00820ED4" w:rsidP="00657959">
      <w:pPr>
        <w:pStyle w:val="Heading2"/>
      </w:pPr>
      <w:r>
        <w:lastRenderedPageBreak/>
        <w:t xml:space="preserve">Executive </w:t>
      </w:r>
      <w:r w:rsidR="002074B1">
        <w:t xml:space="preserve">summary </w:t>
      </w:r>
    </w:p>
    <w:p w14:paraId="42FD4ED0" w14:textId="24DFDE7F" w:rsidR="00645518" w:rsidRPr="001730A6" w:rsidRDefault="20DAAE7A" w:rsidP="18E55A4C">
      <w:pPr>
        <w:spacing w:after="0" w:line="240" w:lineRule="auto"/>
      </w:pPr>
      <w:r>
        <w:t>Los Angeles County is one of the most iconic and dynamic tourism destinations in the world, offering coastal escapes, mountain adventures, world-renowned entertainment</w:t>
      </w:r>
      <w:r w:rsidR="0DFA726D">
        <w:t xml:space="preserve"> and</w:t>
      </w:r>
      <w:r>
        <w:t xml:space="preserve"> countless cultural experiences. Yet this vibrancy is increasingly under pressure, as climate change, natural disasters</w:t>
      </w:r>
      <w:r w:rsidR="0DFA726D">
        <w:t xml:space="preserve"> and</w:t>
      </w:r>
      <w:r>
        <w:t xml:space="preserve"> infrastructure challenges threaten the resilience of the region’s tourism sector.</w:t>
      </w:r>
    </w:p>
    <w:p w14:paraId="47263541" w14:textId="1BB341EF" w:rsidR="00645518" w:rsidRPr="001730A6" w:rsidRDefault="00645518" w:rsidP="18E55A4C">
      <w:pPr>
        <w:spacing w:after="0" w:line="240" w:lineRule="auto"/>
      </w:pPr>
    </w:p>
    <w:p w14:paraId="573E737B" w14:textId="36DF2FA0" w:rsidR="00645518" w:rsidRPr="001730A6" w:rsidRDefault="20DAAE7A" w:rsidP="18E55A4C">
      <w:pPr>
        <w:spacing w:after="0" w:line="240" w:lineRule="auto"/>
      </w:pPr>
      <w:r>
        <w:t xml:space="preserve">The </w:t>
      </w:r>
      <w:r w:rsidR="00EF0F41">
        <w:t>region faces</w:t>
      </w:r>
      <w:r>
        <w:t xml:space="preserve"> three major concerns that could undermine the long-term sustainability of tourism in Los Angeles County.</w:t>
      </w:r>
    </w:p>
    <w:p w14:paraId="578A7C0F" w14:textId="0B5C4D0B" w:rsidR="53375988" w:rsidRDefault="53375988" w:rsidP="53375988">
      <w:pPr>
        <w:spacing w:after="0" w:line="240" w:lineRule="auto"/>
      </w:pPr>
    </w:p>
    <w:p w14:paraId="3E67882F" w14:textId="36A64C3A" w:rsidR="00645518" w:rsidRPr="001730A6" w:rsidRDefault="20DAAE7A" w:rsidP="00C90640">
      <w:r>
        <w:t>Top Risks</w:t>
      </w:r>
    </w:p>
    <w:p w14:paraId="55774BAE" w14:textId="2B32ED69" w:rsidR="00645518" w:rsidRPr="001730A6" w:rsidRDefault="20DAAE7A" w:rsidP="00C90640">
      <w:pPr>
        <w:pStyle w:val="ListParagraph"/>
        <w:numPr>
          <w:ilvl w:val="0"/>
          <w:numId w:val="25"/>
        </w:numPr>
        <w:spacing w:after="0"/>
        <w:contextualSpacing w:val="0"/>
      </w:pPr>
      <w:r>
        <w:t>Limited Disaster Response Infrastructure</w:t>
      </w:r>
    </w:p>
    <w:p w14:paraId="5B189E48" w14:textId="75F3B0AB" w:rsidR="00645518" w:rsidRPr="001730A6" w:rsidRDefault="20DAAE7A" w:rsidP="00C90640">
      <w:pPr>
        <w:pStyle w:val="ListParagraph"/>
        <w:contextualSpacing w:val="0"/>
      </w:pPr>
      <w:r>
        <w:t>The county lacks sufficient emergency shelters and preparedness systems, leaving both residents and visitors highly vulnerable during disasters, particularly earthquakes.</w:t>
      </w:r>
    </w:p>
    <w:p w14:paraId="7D870F98" w14:textId="7FD4A7DC" w:rsidR="00645518" w:rsidRPr="001730A6" w:rsidRDefault="20DAAE7A" w:rsidP="00C90640">
      <w:pPr>
        <w:pStyle w:val="ListParagraph"/>
        <w:numPr>
          <w:ilvl w:val="0"/>
          <w:numId w:val="25"/>
        </w:numPr>
        <w:spacing w:after="0"/>
        <w:contextualSpacing w:val="0"/>
      </w:pPr>
      <w:r>
        <w:t>Escalating Climate and Hazard Risks</w:t>
      </w:r>
    </w:p>
    <w:p w14:paraId="5FD740DF" w14:textId="2AA7F5DD" w:rsidR="00645518" w:rsidRPr="001730A6" w:rsidRDefault="20DAAE7A" w:rsidP="00C90640">
      <w:pPr>
        <w:pStyle w:val="ListParagraph"/>
        <w:contextualSpacing w:val="0"/>
      </w:pPr>
      <w:r>
        <w:t>Earthquakes, drought</w:t>
      </w:r>
      <w:r w:rsidR="0DFA726D">
        <w:t xml:space="preserve"> and</w:t>
      </w:r>
      <w:r>
        <w:t xml:space="preserve"> extreme heat — especially in inland and high-density tourism zones — pose growing</w:t>
      </w:r>
      <w:r w:rsidR="6DDE453C">
        <w:t xml:space="preserve"> </w:t>
      </w:r>
      <w:r>
        <w:t>threats to tourism assets and visitor safety.</w:t>
      </w:r>
    </w:p>
    <w:p w14:paraId="022F84AC" w14:textId="1C389916" w:rsidR="00645518" w:rsidRPr="001730A6" w:rsidRDefault="20DAAE7A" w:rsidP="00C90640">
      <w:pPr>
        <w:pStyle w:val="ListParagraph"/>
        <w:numPr>
          <w:ilvl w:val="0"/>
          <w:numId w:val="25"/>
        </w:numPr>
        <w:spacing w:after="0"/>
        <w:contextualSpacing w:val="0"/>
      </w:pPr>
      <w:r>
        <w:t>Water Scarcity and Visitor Experience</w:t>
      </w:r>
    </w:p>
    <w:p w14:paraId="7E76AC0D" w14:textId="1EF57B19" w:rsidR="00645518" w:rsidRPr="001730A6" w:rsidRDefault="20DAAE7A" w:rsidP="00C90640">
      <w:pPr>
        <w:pStyle w:val="ListParagraph"/>
        <w:contextualSpacing w:val="0"/>
      </w:pPr>
      <w:r>
        <w:t>Persistent drought and low water availability scores signal serious challenges for maintaining the quality and</w:t>
      </w:r>
      <w:r w:rsidR="4AD76B0B">
        <w:t xml:space="preserve"> </w:t>
      </w:r>
      <w:r>
        <w:t>appeal of outdoor attractions and amenities.</w:t>
      </w:r>
    </w:p>
    <w:p w14:paraId="4CA24481" w14:textId="36704B89" w:rsidR="006C765E" w:rsidRDefault="20DAAE7A" w:rsidP="00C90640">
      <w:pPr>
        <w:spacing w:line="240" w:lineRule="auto"/>
      </w:pPr>
      <w:r>
        <w:t>The most critical issue is the county’s lack of essential infrastructure for disaster preparedness and response. Earthquakes remain the single greatest financial threat to tourism infrastructure, with high Average Annual Losses (AAL) projected in key tourism corridors — including downtown Los Angeles, Santa Monica</w:t>
      </w:r>
      <w:r w:rsidR="0DFA726D">
        <w:t xml:space="preserve"> and</w:t>
      </w:r>
      <w:r>
        <w:t xml:space="preserve"> surrounding coastal areas. Many major tourism assets are located near active fault lines, compounding the severity of this risk.</w:t>
      </w:r>
    </w:p>
    <w:p w14:paraId="7FF6C562" w14:textId="3813048C" w:rsidR="00645518" w:rsidRPr="001730A6" w:rsidRDefault="20DAAE7A" w:rsidP="00C90640">
      <w:pPr>
        <w:spacing w:line="240" w:lineRule="auto"/>
      </w:pPr>
      <w:r>
        <w:t>The second major concern is drought. With water availability scoring among the lowest across environmental indicators, ongoing drought conditions threaten the viability of parks, gardens, golf courses</w:t>
      </w:r>
      <w:r w:rsidR="0DFA726D">
        <w:t xml:space="preserve"> and</w:t>
      </w:r>
      <w:r>
        <w:t xml:space="preserve"> other outdoor amenities that rely heavily on irrigation. These shortages not only affect the landscape but also degrade the quality of visitor experiences.</w:t>
      </w:r>
    </w:p>
    <w:p w14:paraId="3FCBB63F" w14:textId="06222975" w:rsidR="00645518" w:rsidRPr="001730A6" w:rsidRDefault="20DAAE7A" w:rsidP="00C90640">
      <w:pPr>
        <w:spacing w:line="240" w:lineRule="auto"/>
      </w:pPr>
      <w:r>
        <w:t xml:space="preserve">Finally, extreme heat is a rising threat, particularly for inland areas such as the San Fernando and San Gabriel Valleys. </w:t>
      </w:r>
      <w:r w:rsidR="006B0966">
        <w:t>P</w:t>
      </w:r>
      <w:r>
        <w:t>rojections show sharp increases in maximum temperatures and longer durations of heatwaves, presenting health and safety risks for visitors — especially vulnerable populations such as seniors and young children — and challenging the region’s outdoor-focused tourism economy.</w:t>
      </w:r>
    </w:p>
    <w:p w14:paraId="69A7D5C8" w14:textId="7EBD5314" w:rsidR="3EE17D61" w:rsidRDefault="3EE17D61" w:rsidP="00C90640">
      <w:pPr>
        <w:spacing w:line="240" w:lineRule="auto"/>
        <w:rPr>
          <w:lang w:val="en-CA"/>
        </w:rPr>
      </w:pPr>
      <w:r>
        <w:t>To help tourism stakeholders prepare for, respond to and recover from a changing climate and other risks, the resilience and sustainability scorecard explores metrics across seven critical success factors (CSFs) to identify and define the challenges facing the region. The scorecard blends spatial data layers and quantitative analysis with qualitative input from regional experts in</w:t>
      </w:r>
      <w:r w:rsidRPr="18E55A4C">
        <w:rPr>
          <w:rFonts w:eastAsia="Source Sans Pro Light" w:cs="Source Sans Pro Light"/>
        </w:rPr>
        <w:t xml:space="preserve"> a panel </w:t>
      </w:r>
      <w:r>
        <w:t>format.</w:t>
      </w:r>
      <w:r w:rsidRPr="18E55A4C">
        <w:rPr>
          <w:rFonts w:eastAsia="Source Sans Pro Light" w:cs="Source Sans Pro Light"/>
        </w:rPr>
        <w:t xml:space="preserve"> Panelists were selected to reflect diverse perspectives across tourism, land and water management, environmental sustainability, government, Indigenous leadership, infrastructure and regional planning. </w:t>
      </w:r>
    </w:p>
    <w:p w14:paraId="07213E9D" w14:textId="204B2E66" w:rsidR="3EE17D61" w:rsidRDefault="3EE17D61" w:rsidP="18E55A4C">
      <w:pPr>
        <w:spacing w:beforeAutospacing="1" w:afterAutospacing="1" w:line="240" w:lineRule="auto"/>
        <w:rPr>
          <w:lang w:val="en-CA"/>
        </w:rPr>
      </w:pPr>
      <w:r>
        <w:t>The resulting quantitative and qualitative ratings provide a baseline risk assessment from which strategies are offered to improve the region’s resiliency to identified risks. For more background on the methodology, see Scorecard Overview.</w:t>
      </w:r>
    </w:p>
    <w:p w14:paraId="34696AA6" w14:textId="25EAEE49" w:rsidR="00645518" w:rsidRPr="0050622D" w:rsidRDefault="00645518" w:rsidP="00645518">
      <w:pPr>
        <w:spacing w:after="240"/>
      </w:pPr>
      <w:r w:rsidRPr="0050622D">
        <w:lastRenderedPageBreak/>
        <w:t>The Los Angeles Resilience and Sustainability Scorecard is a summary of results of this extensive process, with each dial chart representing the overall quantitative rating for each CSF. 40 different indicators in total were selected across the seven CSFs. The various units of measurement for the CSF indicators were normalized to a ratings scale of 0 to 100 to simplify comparisons and develop composite scores by CSF. The scores were then divided into five equal tiers</w:t>
      </w:r>
      <w:r w:rsidR="00132D76">
        <w:t xml:space="preserve"> </w:t>
      </w:r>
      <w:r>
        <w:t>—</w:t>
      </w:r>
      <w:r w:rsidR="00132D76">
        <w:t xml:space="preserve"> </w:t>
      </w:r>
      <w:r w:rsidRPr="0050622D">
        <w:t>low, fair, good, very good and exceptional</w:t>
      </w:r>
      <w:r w:rsidR="00132D76">
        <w:t xml:space="preserve"> </w:t>
      </w:r>
      <w:r>
        <w:t>—</w:t>
      </w:r>
      <w:r w:rsidR="00132D76">
        <w:t xml:space="preserve"> </w:t>
      </w:r>
      <w:r w:rsidRPr="0050622D">
        <w:t>where the higher the score, the better the CSF overall performance.</w:t>
      </w:r>
    </w:p>
    <w:p w14:paraId="34493862" w14:textId="6100322F" w:rsidR="005807C9" w:rsidRDefault="14EC014A" w:rsidP="18E55A4C">
      <w:pPr>
        <w:spacing w:after="240"/>
        <w:jc w:val="center"/>
      </w:pPr>
      <w:r>
        <w:rPr>
          <w:noProof/>
        </w:rPr>
        <w:drawing>
          <wp:inline distT="0" distB="0" distL="0" distR="0" wp14:anchorId="53D9CD12" wp14:editId="69970691">
            <wp:extent cx="6259253" cy="5029200"/>
            <wp:effectExtent l="0" t="0" r="1905" b="0"/>
            <wp:docPr id="1443908229" name="Picture 144390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59253" cy="5029200"/>
                    </a:xfrm>
                    <a:prstGeom prst="rect">
                      <a:avLst/>
                    </a:prstGeom>
                  </pic:spPr>
                </pic:pic>
              </a:graphicData>
            </a:graphic>
          </wp:inline>
        </w:drawing>
      </w:r>
    </w:p>
    <w:p w14:paraId="33DC9A3A" w14:textId="069A52C3" w:rsidR="009500BD" w:rsidRDefault="009500BD" w:rsidP="009500BD">
      <w:pPr>
        <w:spacing w:after="240"/>
        <w:jc w:val="center"/>
      </w:pPr>
    </w:p>
    <w:p w14:paraId="08123EC2" w14:textId="426B9DCE" w:rsidR="005B201A" w:rsidRPr="002E45A9" w:rsidRDefault="56A380E8" w:rsidP="00EE5528">
      <w:pPr>
        <w:jc w:val="center"/>
      </w:pPr>
      <w:r w:rsidRPr="18E55A4C">
        <w:rPr>
          <w:noProof/>
        </w:rPr>
        <w:t xml:space="preserve"> </w:t>
      </w:r>
      <w:r>
        <w:br w:type="page"/>
      </w:r>
    </w:p>
    <w:p w14:paraId="26E1469C" w14:textId="6E5831C4" w:rsidR="00D163B8" w:rsidRDefault="0E457E97" w:rsidP="18E55A4C">
      <w:pPr>
        <w:pStyle w:val="Heading2"/>
      </w:pPr>
      <w:r w:rsidRPr="18E55A4C">
        <w:rPr>
          <w:rFonts w:ascii="Aptos Display" w:eastAsia="Aptos Display" w:hAnsi="Aptos Display" w:cs="Aptos Display"/>
          <w:sz w:val="31"/>
          <w:szCs w:val="31"/>
        </w:rPr>
        <w:lastRenderedPageBreak/>
        <w:t>Interpreting the scorecard</w:t>
      </w:r>
    </w:p>
    <w:p w14:paraId="50843188" w14:textId="5BD55ABB" w:rsidR="00D163B8" w:rsidRPr="007A59E5" w:rsidRDefault="00D163B8" w:rsidP="18E55A4C">
      <w:pPr>
        <w:pStyle w:val="Heading3"/>
        <w:rPr>
          <w:color w:val="auto"/>
        </w:rPr>
      </w:pPr>
      <w:r w:rsidRPr="18E55A4C">
        <w:rPr>
          <w:color w:val="auto"/>
        </w:rPr>
        <w:t>CSF 1 Understanding risks</w:t>
      </w:r>
      <w:r w:rsidR="00132D76" w:rsidRPr="18E55A4C">
        <w:rPr>
          <w:color w:val="auto"/>
        </w:rPr>
        <w:t xml:space="preserve"> </w:t>
      </w:r>
      <w:r w:rsidRPr="18E55A4C">
        <w:rPr>
          <w:color w:val="auto"/>
        </w:rPr>
        <w:t>—</w:t>
      </w:r>
      <w:r w:rsidR="00132D76" w:rsidRPr="18E55A4C">
        <w:rPr>
          <w:color w:val="auto"/>
        </w:rPr>
        <w:t xml:space="preserve"> </w:t>
      </w:r>
      <w:r w:rsidRPr="18E55A4C">
        <w:rPr>
          <w:color w:val="auto"/>
        </w:rPr>
        <w:t>Good</w:t>
      </w:r>
    </w:p>
    <w:p w14:paraId="764A8370" w14:textId="6BCBD114" w:rsidR="00D163B8" w:rsidRPr="00F35A02" w:rsidRDefault="7919F44A" w:rsidP="18E55A4C">
      <w:pPr>
        <w:rPr>
          <w:rFonts w:eastAsia="Calibri" w:cs="Calibri Light"/>
        </w:rPr>
      </w:pPr>
      <w:r w:rsidRPr="18E55A4C">
        <w:rPr>
          <w:rFonts w:eastAsia="Times New Roman" w:cs="Times New Roman"/>
          <w:kern w:val="0"/>
          <w14:ligatures w14:val="none"/>
        </w:rPr>
        <w:t xml:space="preserve">The Los Angeles </w:t>
      </w:r>
      <w:r w:rsidR="00C90640">
        <w:rPr>
          <w:rFonts w:eastAsia="Times New Roman" w:cs="Times New Roman"/>
          <w:kern w:val="0"/>
          <w14:ligatures w14:val="none"/>
        </w:rPr>
        <w:t xml:space="preserve">County </w:t>
      </w:r>
      <w:r w:rsidR="04E1F340" w:rsidRPr="18E55A4C">
        <w:rPr>
          <w:rFonts w:eastAsia="Times New Roman" w:cs="Times New Roman"/>
          <w:kern w:val="0"/>
          <w14:ligatures w14:val="none"/>
        </w:rPr>
        <w:t xml:space="preserve">region is </w:t>
      </w:r>
      <w:r w:rsidR="006B0966">
        <w:rPr>
          <w:rFonts w:eastAsia="Times New Roman" w:cs="Times New Roman"/>
          <w:kern w:val="0"/>
          <w14:ligatures w14:val="none"/>
        </w:rPr>
        <w:t xml:space="preserve">most </w:t>
      </w:r>
      <w:r w:rsidR="04E1F340" w:rsidRPr="18E55A4C">
        <w:rPr>
          <w:rFonts w:eastAsia="Times New Roman" w:cs="Times New Roman"/>
          <w:kern w:val="0"/>
          <w14:ligatures w14:val="none"/>
        </w:rPr>
        <w:t>exposed</w:t>
      </w:r>
      <w:r w:rsidR="00D163B8" w:rsidRPr="18E55A4C">
        <w:rPr>
          <w:rFonts w:eastAsia="Times New Roman" w:cs="Times New Roman"/>
          <w:kern w:val="0"/>
          <w14:ligatures w14:val="none"/>
        </w:rPr>
        <w:t xml:space="preserve"> </w:t>
      </w:r>
      <w:r w:rsidR="006B0966">
        <w:rPr>
          <w:rFonts w:eastAsia="Times New Roman" w:cs="Times New Roman"/>
          <w:kern w:val="0"/>
          <w14:ligatures w14:val="none"/>
        </w:rPr>
        <w:t xml:space="preserve">to </w:t>
      </w:r>
      <w:r w:rsidR="00D163B8" w:rsidRPr="18E55A4C">
        <w:rPr>
          <w:rFonts w:eastAsia="Times New Roman" w:cs="Times New Roman"/>
          <w:kern w:val="0"/>
          <w14:ligatures w14:val="none"/>
        </w:rPr>
        <w:t xml:space="preserve">earthquakes and climate-driven threats like drought and </w:t>
      </w:r>
      <w:proofErr w:type="spellStart"/>
      <w:r w:rsidR="00D163B8" w:rsidRPr="18E55A4C">
        <w:rPr>
          <w:rFonts w:eastAsia="Times New Roman" w:cs="Times New Roman"/>
          <w:kern w:val="0"/>
          <w14:ligatures w14:val="none"/>
        </w:rPr>
        <w:t>heatwavesEarthquakes</w:t>
      </w:r>
      <w:proofErr w:type="spellEnd"/>
      <w:r w:rsidR="00D163B8" w:rsidRPr="18E55A4C">
        <w:rPr>
          <w:rFonts w:eastAsia="Times New Roman" w:cs="Times New Roman"/>
          <w:kern w:val="0"/>
          <w14:ligatures w14:val="none"/>
        </w:rPr>
        <w:t xml:space="preserve"> present the highest Average Annual Loss (AAL) across the </w:t>
      </w:r>
      <w:r w:rsidR="1C2CD26E" w:rsidRPr="18E55A4C">
        <w:rPr>
          <w:rFonts w:eastAsia="Times New Roman" w:cs="Times New Roman"/>
          <w:kern w:val="0"/>
          <w14:ligatures w14:val="none"/>
        </w:rPr>
        <w:t>entire area</w:t>
      </w:r>
      <w:r w:rsidR="00D163B8" w:rsidRPr="18E55A4C">
        <w:rPr>
          <w:rFonts w:eastAsia="Times New Roman" w:cs="Times New Roman"/>
          <w:kern w:val="0"/>
          <w14:ligatures w14:val="none"/>
        </w:rPr>
        <w:t xml:space="preserve">, reflecting high financial exposure, particularly in dense tourism corridors. </w:t>
      </w:r>
      <w:r w:rsidR="24DA597E" w:rsidRPr="18E55A4C">
        <w:rPr>
          <w:rFonts w:eastAsia="Calibri" w:cs="Calibri Light"/>
        </w:rPr>
        <w:t xml:space="preserve">Some destinations within the region have taken initial steps to plan for the risks the region faces and include some consideration of impacts to tourism in their plans. </w:t>
      </w:r>
    </w:p>
    <w:p w14:paraId="44580542" w14:textId="048024EA" w:rsidR="00D163B8" w:rsidRPr="00F35A02" w:rsidRDefault="00D163B8" w:rsidP="18E55A4C">
      <w:pPr>
        <w:pStyle w:val="Heading3"/>
        <w:rPr>
          <w:color w:val="auto"/>
        </w:rPr>
      </w:pPr>
      <w:r w:rsidRPr="18E55A4C">
        <w:rPr>
          <w:color w:val="auto"/>
        </w:rPr>
        <w:t>CSF 2 Managing Resilience</w:t>
      </w:r>
      <w:r w:rsidR="00132D76" w:rsidRPr="18E55A4C">
        <w:rPr>
          <w:color w:val="auto"/>
        </w:rPr>
        <w:t xml:space="preserve"> </w:t>
      </w:r>
      <w:r w:rsidRPr="18E55A4C">
        <w:rPr>
          <w:color w:val="auto"/>
        </w:rPr>
        <w:t>—</w:t>
      </w:r>
      <w:r w:rsidR="00132D76" w:rsidRPr="18E55A4C">
        <w:rPr>
          <w:color w:val="auto"/>
        </w:rPr>
        <w:t xml:space="preserve"> </w:t>
      </w:r>
      <w:r w:rsidRPr="18E55A4C">
        <w:rPr>
          <w:color w:val="auto"/>
        </w:rPr>
        <w:t>Very Good</w:t>
      </w:r>
    </w:p>
    <w:p w14:paraId="7FCE7EED" w14:textId="2961F0D3" w:rsidR="00D163B8" w:rsidRPr="00F35A02" w:rsidRDefault="00F10136" w:rsidP="18E55A4C">
      <w:pPr>
        <w:rPr>
          <w:rFonts w:eastAsia="Times New Roman" w:cs="Times New Roman"/>
          <w:kern w:val="0"/>
          <w14:ligatures w14:val="none"/>
        </w:rPr>
      </w:pPr>
      <w:r>
        <w:t xml:space="preserve">While several cities and counties in the region have established strong resilience plans, opportunities for improvement remain. Some destinations have begun to address tourism-related risks in their planning efforts. </w:t>
      </w:r>
    </w:p>
    <w:p w14:paraId="2FE85504" w14:textId="1189BB04" w:rsidR="00D163B8" w:rsidRPr="007A59E5" w:rsidRDefault="00D163B8" w:rsidP="18E55A4C">
      <w:pPr>
        <w:pStyle w:val="Heading3"/>
        <w:rPr>
          <w:color w:val="auto"/>
        </w:rPr>
      </w:pPr>
      <w:r w:rsidRPr="18E55A4C">
        <w:rPr>
          <w:color w:val="auto"/>
        </w:rPr>
        <w:t>CSF 3 Preparedness and Response</w:t>
      </w:r>
      <w:r w:rsidR="00132D76" w:rsidRPr="18E55A4C">
        <w:rPr>
          <w:color w:val="auto"/>
        </w:rPr>
        <w:t xml:space="preserve"> </w:t>
      </w:r>
      <w:r w:rsidRPr="18E55A4C">
        <w:rPr>
          <w:color w:val="auto"/>
        </w:rPr>
        <w:t>—</w:t>
      </w:r>
      <w:r w:rsidR="00132D76" w:rsidRPr="18E55A4C">
        <w:rPr>
          <w:color w:val="auto"/>
        </w:rPr>
        <w:t xml:space="preserve"> </w:t>
      </w:r>
      <w:r w:rsidRPr="18E55A4C">
        <w:rPr>
          <w:color w:val="auto"/>
        </w:rPr>
        <w:t>Very Good</w:t>
      </w:r>
    </w:p>
    <w:p w14:paraId="6AD362A3" w14:textId="11C462C7" w:rsidR="76DE22C1" w:rsidRDefault="76DE22C1" w:rsidP="18E55A4C">
      <w:r w:rsidRPr="18E55A4C">
        <w:t xml:space="preserve">The region demonstrates a strong level of preparedness and recovery capacity </w:t>
      </w:r>
      <w:r w:rsidR="000F0165">
        <w:t>with regards to</w:t>
      </w:r>
      <w:r w:rsidRPr="18E55A4C">
        <w:t xml:space="preserve"> emergency healthcare</w:t>
      </w:r>
      <w:r w:rsidR="000F0165">
        <w:t xml:space="preserve"> access</w:t>
      </w:r>
      <w:r w:rsidRPr="18E55A4C">
        <w:t xml:space="preserve"> and infrastructure density, while </w:t>
      </w:r>
      <w:r w:rsidR="000F0165">
        <w:t>lacking other critical infrastructure, such as</w:t>
      </w:r>
      <w:r w:rsidRPr="18E55A4C">
        <w:t xml:space="preserve"> emergency shelter</w:t>
      </w:r>
      <w:r w:rsidR="000F0165">
        <w:t>s</w:t>
      </w:r>
      <w:r w:rsidRPr="18E55A4C">
        <w:t xml:space="preserve"> and road accessibility. </w:t>
      </w:r>
    </w:p>
    <w:p w14:paraId="7BDFA26F" w14:textId="5972FD1C" w:rsidR="00D163B8" w:rsidRPr="007A59E5" w:rsidRDefault="00D163B8" w:rsidP="18E55A4C">
      <w:pPr>
        <w:pStyle w:val="Heading3"/>
        <w:rPr>
          <w:color w:val="auto"/>
        </w:rPr>
      </w:pPr>
      <w:r w:rsidRPr="18E55A4C">
        <w:rPr>
          <w:color w:val="auto"/>
        </w:rPr>
        <w:t>CSF 4 Investing in Sustainability</w:t>
      </w:r>
      <w:r w:rsidR="00132D76" w:rsidRPr="18E55A4C">
        <w:rPr>
          <w:color w:val="auto"/>
        </w:rPr>
        <w:t xml:space="preserve"> </w:t>
      </w:r>
      <w:r w:rsidRPr="18E55A4C">
        <w:rPr>
          <w:color w:val="auto"/>
        </w:rPr>
        <w:t>—</w:t>
      </w:r>
      <w:r w:rsidR="00132D76" w:rsidRPr="18E55A4C">
        <w:rPr>
          <w:color w:val="auto"/>
        </w:rPr>
        <w:t xml:space="preserve"> </w:t>
      </w:r>
      <w:r w:rsidRPr="18E55A4C">
        <w:rPr>
          <w:color w:val="auto"/>
        </w:rPr>
        <w:t>Very Good</w:t>
      </w:r>
    </w:p>
    <w:p w14:paraId="27609D13" w14:textId="03E31051" w:rsidR="00D163B8" w:rsidRDefault="00D163B8" w:rsidP="18E55A4C">
      <w:r w:rsidRPr="18E55A4C">
        <w:t>Los Angeles County demonstrates a broad and active approach to sustainable development, particularly in how it leverages public funding and prioritizes equity in project distribution. The region</w:t>
      </w:r>
      <w:r w:rsidR="00B41CBA">
        <w:t xml:space="preserve">, by a very wide margin, is the largest recipient of funding from the California Climate Investment umbrella of programs. However, it has received the funding </w:t>
      </w:r>
      <w:r w:rsidR="009A1828">
        <w:t xml:space="preserve">because the region </w:t>
      </w:r>
      <w:r w:rsidR="00E4706E">
        <w:t>remains</w:t>
      </w:r>
      <w:r w:rsidR="00B41CBA">
        <w:t xml:space="preserve"> </w:t>
      </w:r>
      <w:r w:rsidR="00613D38">
        <w:t xml:space="preserve">home to the </w:t>
      </w:r>
      <w:r w:rsidR="00B41CBA">
        <w:t xml:space="preserve">nation’s worst </w:t>
      </w:r>
      <w:r w:rsidR="00613D38">
        <w:t xml:space="preserve">in </w:t>
      </w:r>
      <w:r w:rsidR="00B41CBA">
        <w:t xml:space="preserve">air quality </w:t>
      </w:r>
      <w:r w:rsidR="00613D38">
        <w:t xml:space="preserve">in terms of ozone and smog </w:t>
      </w:r>
      <w:r w:rsidR="00B41CBA">
        <w:t>(see CSF 7)</w:t>
      </w:r>
      <w:r w:rsidR="00613D38">
        <w:t>, as well as</w:t>
      </w:r>
      <w:r w:rsidR="00B41CBA">
        <w:t xml:space="preserve"> high greenhouse gas emissions. </w:t>
      </w:r>
    </w:p>
    <w:p w14:paraId="36400C4D" w14:textId="60B5DB78" w:rsidR="00D163B8" w:rsidRPr="007A59E5" w:rsidRDefault="00D163B8" w:rsidP="18E55A4C">
      <w:pPr>
        <w:pStyle w:val="Heading3"/>
        <w:rPr>
          <w:color w:val="auto"/>
        </w:rPr>
      </w:pPr>
      <w:r w:rsidRPr="18E55A4C">
        <w:rPr>
          <w:color w:val="auto"/>
        </w:rPr>
        <w:t>CSF 5 Managing Growth</w:t>
      </w:r>
      <w:r w:rsidR="00132D76" w:rsidRPr="18E55A4C">
        <w:rPr>
          <w:color w:val="auto"/>
        </w:rPr>
        <w:t xml:space="preserve"> </w:t>
      </w:r>
      <w:r w:rsidRPr="18E55A4C">
        <w:rPr>
          <w:color w:val="auto"/>
        </w:rPr>
        <w:t>—</w:t>
      </w:r>
      <w:r w:rsidR="00132D76" w:rsidRPr="18E55A4C">
        <w:rPr>
          <w:color w:val="auto"/>
        </w:rPr>
        <w:t xml:space="preserve"> </w:t>
      </w:r>
      <w:r w:rsidRPr="18E55A4C">
        <w:rPr>
          <w:color w:val="auto"/>
        </w:rPr>
        <w:t>Good</w:t>
      </w:r>
    </w:p>
    <w:p w14:paraId="6A7B1997" w14:textId="220843E7" w:rsidR="0C40ABE3" w:rsidRDefault="0C40ABE3" w:rsidP="18E55A4C">
      <w:pPr>
        <w:rPr>
          <w:rFonts w:eastAsia="Times New Roman" w:cs="Times New Roman"/>
        </w:rPr>
      </w:pPr>
      <w:r w:rsidRPr="18E55A4C">
        <w:rPr>
          <w:rFonts w:eastAsia="Times New Roman" w:cs="Times New Roman"/>
        </w:rPr>
        <w:t xml:space="preserve">The region performs well in hospitality employment and in its share of </w:t>
      </w:r>
      <w:proofErr w:type="gramStart"/>
      <w:r w:rsidRPr="18E55A4C">
        <w:rPr>
          <w:rFonts w:eastAsia="Times New Roman" w:cs="Times New Roman"/>
        </w:rPr>
        <w:t>highly-rated</w:t>
      </w:r>
      <w:proofErr w:type="gramEnd"/>
      <w:r w:rsidRPr="18E55A4C">
        <w:rPr>
          <w:rFonts w:eastAsia="Times New Roman" w:cs="Times New Roman"/>
        </w:rPr>
        <w:t xml:space="preserve"> attractions</w:t>
      </w:r>
      <w:r w:rsidR="004067B9">
        <w:rPr>
          <w:rFonts w:eastAsia="Times New Roman" w:cs="Times New Roman"/>
        </w:rPr>
        <w:t>.</w:t>
      </w:r>
      <w:r w:rsidRPr="18E55A4C">
        <w:rPr>
          <w:rFonts w:eastAsia="Times New Roman" w:cs="Times New Roman"/>
        </w:rPr>
        <w:t xml:space="preserve"> The </w:t>
      </w:r>
      <w:r w:rsidR="004067B9">
        <w:rPr>
          <w:rFonts w:eastAsia="Times New Roman" w:cs="Times New Roman"/>
        </w:rPr>
        <w:t>region</w:t>
      </w:r>
      <w:r w:rsidR="004067B9" w:rsidRPr="18E55A4C">
        <w:rPr>
          <w:rFonts w:eastAsia="Times New Roman" w:cs="Times New Roman"/>
        </w:rPr>
        <w:t xml:space="preserve"> </w:t>
      </w:r>
      <w:r w:rsidRPr="18E55A4C">
        <w:rPr>
          <w:rFonts w:eastAsia="Times New Roman" w:cs="Times New Roman"/>
        </w:rPr>
        <w:t xml:space="preserve">has also achieved robust diversity in tourism offerings and moderate success in year-round demand. However, there is significant room for improvement in traffic congestion, highlighting a critical area that affects both visitor experience and local </w:t>
      </w:r>
      <w:r w:rsidR="00C033A9">
        <w:rPr>
          <w:rFonts w:eastAsia="Times New Roman" w:cs="Times New Roman"/>
        </w:rPr>
        <w:t xml:space="preserve">resident </w:t>
      </w:r>
      <w:r w:rsidRPr="18E55A4C">
        <w:rPr>
          <w:rFonts w:eastAsia="Times New Roman" w:cs="Times New Roman"/>
        </w:rPr>
        <w:t>quality of life.</w:t>
      </w:r>
    </w:p>
    <w:p w14:paraId="66E51FF9" w14:textId="2E78F132" w:rsidR="00D163B8" w:rsidRPr="007A59E5" w:rsidRDefault="00D163B8" w:rsidP="18E55A4C">
      <w:pPr>
        <w:pStyle w:val="Heading3"/>
        <w:rPr>
          <w:color w:val="auto"/>
        </w:rPr>
      </w:pPr>
      <w:r w:rsidRPr="18E55A4C">
        <w:rPr>
          <w:color w:val="auto"/>
        </w:rPr>
        <w:t xml:space="preserve">CSF 6 </w:t>
      </w:r>
      <w:r w:rsidRPr="18E55A4C">
        <w:rPr>
          <w:rFonts w:eastAsia="Times New Roman" w:cs="Times New Roman"/>
          <w:color w:val="auto"/>
          <w:kern w:val="0"/>
          <w14:ligatures w14:val="none"/>
        </w:rPr>
        <w:t>Community Well-Being</w:t>
      </w:r>
      <w:r w:rsidR="00132D76" w:rsidRPr="18E55A4C">
        <w:rPr>
          <w:color w:val="auto"/>
        </w:rPr>
        <w:t xml:space="preserve"> </w:t>
      </w:r>
      <w:r w:rsidRPr="18E55A4C">
        <w:rPr>
          <w:color w:val="auto"/>
        </w:rPr>
        <w:t>—</w:t>
      </w:r>
      <w:r w:rsidR="00132D76" w:rsidRPr="18E55A4C">
        <w:rPr>
          <w:color w:val="auto"/>
        </w:rPr>
        <w:t xml:space="preserve"> </w:t>
      </w:r>
      <w:r w:rsidRPr="18E55A4C">
        <w:rPr>
          <w:color w:val="auto"/>
        </w:rPr>
        <w:t>Fair</w:t>
      </w:r>
    </w:p>
    <w:p w14:paraId="7F088AF7" w14:textId="3221B761" w:rsidR="00D163B8" w:rsidRPr="00F35A02" w:rsidRDefault="00D163B8" w:rsidP="18E55A4C">
      <w:pPr>
        <w:rPr>
          <w:rFonts w:eastAsia="Times New Roman" w:cs="Times New Roman"/>
          <w:kern w:val="0"/>
          <w14:ligatures w14:val="none"/>
        </w:rPr>
      </w:pPr>
      <w:r w:rsidRPr="18E55A4C">
        <w:rPr>
          <w:rFonts w:eastAsia="Times New Roman" w:cs="Times New Roman"/>
          <w:kern w:val="0"/>
          <w14:ligatures w14:val="none"/>
        </w:rPr>
        <w:t>Institutions like the Hollywood Bowl and Getty Center offer strong examples of community integration, but a regionwide approach to community well-being and preparedness education is lacking. More consistent outreach and benefit-sharing across neighborhoods</w:t>
      </w:r>
      <w:r w:rsidR="23E492E8" w:rsidRPr="18E55A4C">
        <w:rPr>
          <w:rFonts w:eastAsia="Times New Roman" w:cs="Times New Roman"/>
          <w:kern w:val="0"/>
          <w14:ligatures w14:val="none"/>
        </w:rPr>
        <w:t xml:space="preserve"> </w:t>
      </w:r>
      <w:r w:rsidRPr="18E55A4C">
        <w:rPr>
          <w:rFonts w:eastAsia="Times New Roman" w:cs="Times New Roman"/>
          <w:kern w:val="0"/>
          <w14:ligatures w14:val="none"/>
        </w:rPr>
        <w:t>— particularly those impacted by tourism activity — could help improve this score</w:t>
      </w:r>
      <w:r w:rsidRPr="18E55A4C">
        <w:rPr>
          <w:rFonts w:ascii="Arial" w:eastAsia="Times New Roman" w:hAnsi="Arial" w:cs="Arial"/>
          <w:kern w:val="0"/>
          <w14:ligatures w14:val="none"/>
        </w:rPr>
        <w:t>​</w:t>
      </w:r>
      <w:r w:rsidRPr="18E55A4C">
        <w:rPr>
          <w:rFonts w:eastAsia="Times New Roman" w:cs="Times New Roman"/>
          <w:kern w:val="0"/>
          <w14:ligatures w14:val="none"/>
        </w:rPr>
        <w:t>.</w:t>
      </w:r>
    </w:p>
    <w:p w14:paraId="05C81B12" w14:textId="19F4E297" w:rsidR="00D163B8" w:rsidRPr="007A59E5" w:rsidRDefault="00D163B8" w:rsidP="18E55A4C">
      <w:pPr>
        <w:pStyle w:val="Heading3"/>
        <w:rPr>
          <w:color w:val="auto"/>
        </w:rPr>
      </w:pPr>
      <w:r w:rsidRPr="18E55A4C">
        <w:rPr>
          <w:color w:val="auto"/>
        </w:rPr>
        <w:t xml:space="preserve">CSF 7 </w:t>
      </w:r>
      <w:r w:rsidRPr="18E55A4C">
        <w:rPr>
          <w:rFonts w:eastAsia="Times New Roman" w:cs="Times New Roman"/>
          <w:color w:val="auto"/>
          <w:kern w:val="0"/>
          <w14:ligatures w14:val="none"/>
        </w:rPr>
        <w:t>Environmental Conservation</w:t>
      </w:r>
      <w:r w:rsidR="00132D76" w:rsidRPr="18E55A4C">
        <w:rPr>
          <w:color w:val="auto"/>
        </w:rPr>
        <w:t xml:space="preserve"> </w:t>
      </w:r>
      <w:r w:rsidRPr="18E55A4C">
        <w:rPr>
          <w:color w:val="auto"/>
        </w:rPr>
        <w:t>—</w:t>
      </w:r>
      <w:r w:rsidR="00132D76" w:rsidRPr="18E55A4C">
        <w:rPr>
          <w:color w:val="auto"/>
        </w:rPr>
        <w:t xml:space="preserve"> </w:t>
      </w:r>
      <w:r w:rsidRPr="18E55A4C">
        <w:rPr>
          <w:color w:val="auto"/>
        </w:rPr>
        <w:t>Lowest</w:t>
      </w:r>
    </w:p>
    <w:p w14:paraId="451CAABF" w14:textId="7A381C51" w:rsidR="00D163B8" w:rsidRPr="007A59E5" w:rsidRDefault="00397D53" w:rsidP="18E55A4C">
      <w:pPr>
        <w:rPr>
          <w:rFonts w:eastAsia="Times New Roman" w:cs="Times New Roman"/>
        </w:rPr>
      </w:pPr>
      <w:r>
        <w:rPr>
          <w:rFonts w:eastAsia="Times New Roman" w:cs="Times New Roman"/>
        </w:rPr>
        <w:t xml:space="preserve">Los Angeles County </w:t>
      </w:r>
      <w:r w:rsidR="00087E16">
        <w:rPr>
          <w:rFonts w:eastAsia="Times New Roman" w:cs="Times New Roman"/>
        </w:rPr>
        <w:t>face</w:t>
      </w:r>
      <w:r w:rsidR="00AF1ABA">
        <w:rPr>
          <w:rFonts w:eastAsia="Times New Roman" w:cs="Times New Roman"/>
        </w:rPr>
        <w:t>s</w:t>
      </w:r>
      <w:r w:rsidR="00087E16">
        <w:rPr>
          <w:rFonts w:eastAsia="Times New Roman" w:cs="Times New Roman"/>
        </w:rPr>
        <w:t xml:space="preserve"> the most serious environmental challenges of all the regions. </w:t>
      </w:r>
      <w:r w:rsidR="00D73534">
        <w:rPr>
          <w:rFonts w:eastAsia="Times New Roman" w:cs="Times New Roman"/>
        </w:rPr>
        <w:t xml:space="preserve"> </w:t>
      </w:r>
      <w:r w:rsidR="006B701B">
        <w:rPr>
          <w:rFonts w:eastAsia="Times New Roman" w:cs="Times New Roman"/>
        </w:rPr>
        <w:t>The Los Angeles-Long Beach metro are</w:t>
      </w:r>
      <w:r w:rsidR="000E5A00">
        <w:rPr>
          <w:rFonts w:eastAsia="Times New Roman" w:cs="Times New Roman"/>
        </w:rPr>
        <w:t>a</w:t>
      </w:r>
      <w:r w:rsidR="006B701B">
        <w:rPr>
          <w:rFonts w:eastAsia="Times New Roman" w:cs="Times New Roman"/>
        </w:rPr>
        <w:t xml:space="preserve"> has the dubious </w:t>
      </w:r>
      <w:r w:rsidR="000E5A00">
        <w:rPr>
          <w:rFonts w:eastAsia="Times New Roman" w:cs="Times New Roman"/>
        </w:rPr>
        <w:t>distinction of 25 years as the smoggiest in the nation</w:t>
      </w:r>
      <w:r w:rsidR="00230D3F">
        <w:rPr>
          <w:rFonts w:eastAsia="Times New Roman" w:cs="Times New Roman"/>
        </w:rPr>
        <w:t xml:space="preserve">, according to the American Lung Association. </w:t>
      </w:r>
      <w:r w:rsidR="00230D3F">
        <w:rPr>
          <w:rFonts w:eastAsia="Times New Roman" w:cs="Times New Roman"/>
          <w:kern w:val="0"/>
          <w14:ligatures w14:val="none"/>
        </w:rPr>
        <w:t xml:space="preserve">The region </w:t>
      </w:r>
      <w:r w:rsidR="00433993">
        <w:rPr>
          <w:rFonts w:eastAsia="Times New Roman" w:cs="Times New Roman"/>
          <w:kern w:val="0"/>
          <w14:ligatures w14:val="none"/>
        </w:rPr>
        <w:t xml:space="preserve">also </w:t>
      </w:r>
      <w:r w:rsidR="00230D3F">
        <w:rPr>
          <w:rFonts w:eastAsia="Times New Roman" w:cs="Times New Roman"/>
          <w:kern w:val="0"/>
          <w14:ligatures w14:val="none"/>
        </w:rPr>
        <w:t>has the least biodiversity</w:t>
      </w:r>
      <w:r w:rsidR="00867D0A">
        <w:rPr>
          <w:rFonts w:eastAsia="Times New Roman" w:cs="Times New Roman"/>
          <w:kern w:val="0"/>
          <w14:ligatures w14:val="none"/>
        </w:rPr>
        <w:t xml:space="preserve">, poor stream conditions, </w:t>
      </w:r>
      <w:r w:rsidR="00C358AF">
        <w:rPr>
          <w:rFonts w:eastAsia="Times New Roman" w:cs="Times New Roman"/>
          <w:kern w:val="0"/>
          <w14:ligatures w14:val="none"/>
        </w:rPr>
        <w:t>minimal conserved areas and troubling water scarcity</w:t>
      </w:r>
      <w:r w:rsidR="00751E2F">
        <w:rPr>
          <w:rFonts w:eastAsia="Times New Roman" w:cs="Times New Roman"/>
          <w:kern w:val="0"/>
          <w14:ligatures w14:val="none"/>
        </w:rPr>
        <w:t xml:space="preserve">, none of which is all that surprising considering the region is home to the </w:t>
      </w:r>
      <w:r w:rsidR="0000039A">
        <w:rPr>
          <w:rFonts w:eastAsia="Times New Roman" w:cs="Times New Roman"/>
          <w:kern w:val="0"/>
          <w14:ligatures w14:val="none"/>
        </w:rPr>
        <w:t xml:space="preserve">second largest </w:t>
      </w:r>
      <w:r w:rsidR="0008381A">
        <w:rPr>
          <w:rFonts w:eastAsia="Times New Roman" w:cs="Times New Roman"/>
          <w:kern w:val="0"/>
          <w14:ligatures w14:val="none"/>
        </w:rPr>
        <w:t>metropolitan area</w:t>
      </w:r>
      <w:r w:rsidR="0000039A">
        <w:rPr>
          <w:rFonts w:eastAsia="Times New Roman" w:cs="Times New Roman"/>
          <w:kern w:val="0"/>
          <w14:ligatures w14:val="none"/>
        </w:rPr>
        <w:t xml:space="preserve"> behind </w:t>
      </w:r>
      <w:r w:rsidR="0008381A">
        <w:rPr>
          <w:rFonts w:eastAsia="Times New Roman" w:cs="Times New Roman"/>
          <w:kern w:val="0"/>
          <w14:ligatures w14:val="none"/>
        </w:rPr>
        <w:t>only New York.</w:t>
      </w:r>
      <w:r w:rsidR="009057D3">
        <w:rPr>
          <w:rFonts w:eastAsia="Times New Roman" w:cs="Times New Roman"/>
          <w:kern w:val="0"/>
          <w14:ligatures w14:val="none"/>
        </w:rPr>
        <w:t xml:space="preserve"> The region is an economic and tourism </w:t>
      </w:r>
      <w:proofErr w:type="gramStart"/>
      <w:r w:rsidR="009057D3">
        <w:rPr>
          <w:rFonts w:eastAsia="Times New Roman" w:cs="Times New Roman"/>
          <w:kern w:val="0"/>
          <w14:ligatures w14:val="none"/>
        </w:rPr>
        <w:t>powerhouse, but</w:t>
      </w:r>
      <w:proofErr w:type="gramEnd"/>
      <w:r w:rsidR="00A47C71">
        <w:rPr>
          <w:rFonts w:eastAsia="Times New Roman" w:cs="Times New Roman"/>
          <w:kern w:val="0"/>
          <w14:ligatures w14:val="none"/>
        </w:rPr>
        <w:t xml:space="preserve"> also struggles with myriad environmental concerns.</w:t>
      </w:r>
    </w:p>
    <w:p w14:paraId="05C55AF6" w14:textId="19B3B0D8" w:rsidR="00D163B8" w:rsidRPr="007A59E5" w:rsidRDefault="00D163B8" w:rsidP="18E55A4C">
      <w:pPr>
        <w:rPr>
          <w:rFonts w:eastAsia="Times New Roman" w:cs="Times New Roman"/>
        </w:rPr>
      </w:pPr>
      <w:r>
        <w:lastRenderedPageBreak/>
        <w:t>The following sections dive into the findings of Los Angeles County’s regional scorecard and identify opportunities for incremental improvement across the seven critical success factors. While the assessment was carried out at the regional level, the opportunities can be pursued at the local level by tourism businesses and destination management organizations (DMOs) to better understand, prepare for, respond to and recover from the various threats facing the region.</w:t>
      </w:r>
    </w:p>
    <w:p w14:paraId="461FB8C7" w14:textId="7DD7E857" w:rsidR="0093585C" w:rsidRDefault="00E56BDA" w:rsidP="00FB21DD">
      <w:r>
        <w:rPr>
          <w:noProof/>
        </w:rPr>
        <mc:AlternateContent>
          <mc:Choice Requires="wps">
            <w:drawing>
              <wp:inline distT="0" distB="182880" distL="114300" distR="114300" wp14:anchorId="63F53F38" wp14:editId="020FFA77">
                <wp:extent cx="6345555" cy="1731645"/>
                <wp:effectExtent l="0" t="0" r="17145" b="20955"/>
                <wp:docPr id="1993626536" name="Text Box 1"/>
                <wp:cNvGraphicFramePr/>
                <a:graphic xmlns:a="http://schemas.openxmlformats.org/drawingml/2006/main">
                  <a:graphicData uri="http://schemas.microsoft.com/office/word/2010/wordprocessingShape">
                    <wps:wsp>
                      <wps:cNvSpPr txBox="1"/>
                      <wps:spPr>
                        <a:xfrm>
                          <a:off x="0" y="0"/>
                          <a:ext cx="6345555" cy="1731645"/>
                        </a:xfrm>
                        <a:prstGeom prst="rect">
                          <a:avLst/>
                        </a:prstGeom>
                        <a:solidFill>
                          <a:schemeClr val="lt1"/>
                        </a:solidFill>
                        <a:ln w="6350">
                          <a:solidFill>
                            <a:prstClr val="black"/>
                          </a:solidFill>
                        </a:ln>
                      </wps:spPr>
                      <wps:txbx>
                        <w:txbxContent>
                          <w:p w14:paraId="6D2EB83C" w14:textId="77777777" w:rsidR="00E56BDA" w:rsidRDefault="00E56BDA" w:rsidP="00E56BDA">
                            <w:pPr>
                              <w:spacing w:after="0"/>
                              <w:jc w:val="center"/>
                              <w:rPr>
                                <w:b/>
                                <w:bCs/>
                              </w:rPr>
                            </w:pPr>
                            <w:r w:rsidRPr="00CF17FF">
                              <w:rPr>
                                <w:b/>
                                <w:bCs/>
                              </w:rPr>
                              <w:t>California Tourism Resilience and Sustainability Dashboard</w:t>
                            </w:r>
                          </w:p>
                          <w:p w14:paraId="345ED759" w14:textId="77777777" w:rsidR="00E56BDA" w:rsidRPr="00E0618F" w:rsidRDefault="00E56BDA" w:rsidP="00E56BDA">
                            <w:pPr>
                              <w:spacing w:after="0"/>
                              <w:jc w:val="center"/>
                              <w:rPr>
                                <w:b/>
                                <w:bCs/>
                              </w:rPr>
                            </w:pPr>
                          </w:p>
                          <w:p w14:paraId="35784D6B" w14:textId="77777777" w:rsidR="00E56BDA" w:rsidRDefault="00E56BDA" w:rsidP="00E56BDA">
                            <w:pPr>
                              <w:spacing w:after="0"/>
                              <w:jc w:val="center"/>
                            </w:pPr>
                            <w:r w:rsidRPr="00CF17FF">
                              <w:t>All the</w:t>
                            </w:r>
                            <w:r>
                              <w:t xml:space="preserve"> risk indices and</w:t>
                            </w:r>
                            <w:r w:rsidRPr="00CF17FF">
                              <w:t xml:space="preserve"> data layers used to develop these indicators are accessible through an interactive </w:t>
                            </w:r>
                            <w:r>
                              <w:t>d</w:t>
                            </w:r>
                            <w:r w:rsidRPr="00CF17FF">
                              <w:t>ashboard created specifically for</w:t>
                            </w:r>
                            <w:r>
                              <w:t xml:space="preserve"> California and each of</w:t>
                            </w:r>
                            <w:r w:rsidRPr="00CF17FF">
                              <w:t xml:space="preserve"> the </w:t>
                            </w:r>
                            <w:r>
                              <w:t>12 tourism</w:t>
                            </w:r>
                            <w:r w:rsidRPr="00CF17FF">
                              <w:t xml:space="preserve"> region</w:t>
                            </w:r>
                            <w:r>
                              <w:t>s</w:t>
                            </w:r>
                            <w:r w:rsidRPr="00CF17FF">
                              <w:t>.</w:t>
                            </w:r>
                          </w:p>
                          <w:p w14:paraId="633EE4C6" w14:textId="77777777" w:rsidR="00E56BDA" w:rsidRDefault="00E56BDA" w:rsidP="00E56BDA">
                            <w:pPr>
                              <w:spacing w:after="0"/>
                              <w:jc w:val="center"/>
                            </w:pPr>
                          </w:p>
                          <w:p w14:paraId="43CD31A7" w14:textId="77777777" w:rsidR="005D1B94" w:rsidRDefault="005D1B94" w:rsidP="005D1B94">
                            <w:pPr>
                              <w:spacing w:after="0"/>
                              <w:jc w:val="center"/>
                            </w:pPr>
                            <w:r w:rsidRPr="00EE2D27">
                              <w:rPr>
                                <w:b/>
                                <w:bCs/>
                              </w:rPr>
                              <w:t xml:space="preserve">Explore the </w:t>
                            </w:r>
                            <w:r>
                              <w:rPr>
                                <w:b/>
                                <w:bCs/>
                              </w:rPr>
                              <w:t xml:space="preserve">Los Angeles County </w:t>
                            </w:r>
                            <w:r w:rsidRPr="00EE2D27">
                              <w:rPr>
                                <w:b/>
                                <w:bCs/>
                              </w:rPr>
                              <w:t xml:space="preserve">data here: </w:t>
                            </w:r>
                            <w:hyperlink r:id="rId23" w:history="1">
                              <w:r w:rsidRPr="00EE2D27">
                                <w:rPr>
                                  <w:rStyle w:val="Hyperlink"/>
                                  <w:b/>
                                  <w:bCs/>
                                </w:rPr>
                                <w:t>Los Angeles County Dashboard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3F53F38" id="_x0000_t202" coordsize="21600,21600" o:spt="202" path="m,l,21600r21600,l21600,xe">
                <v:stroke joinstyle="miter"/>
                <v:path gradientshapeok="t" o:connecttype="rect"/>
              </v:shapetype>
              <v:shape id="Text Box 1" o:spid="_x0000_s1026" type="#_x0000_t202" style="width:499.65pt;height:13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" fillcolor="white [3201]" strokeweight=".5pt">
                <v:textbox>
                  <w:txbxContent>
                    <w:p w14:paraId="6D2EB83C" w14:textId="77777777" w:rsidR="00E56BDA" w:rsidRDefault="00E56BDA" w:rsidP="00E56BDA">
                      <w:pPr>
                        <w:spacing w:after="0"/>
                        <w:jc w:val="center"/>
                        <w:rPr>
                          <w:b/>
                          <w:bCs/>
                        </w:rPr>
                      </w:pPr>
                      <w:r w:rsidRPr="00CF17FF">
                        <w:rPr>
                          <w:b/>
                          <w:bCs/>
                        </w:rPr>
                        <w:t>California Tourism Resilience and Sustainability Dashboard</w:t>
                      </w:r>
                    </w:p>
                    <w:p w14:paraId="345ED759" w14:textId="77777777" w:rsidR="00E56BDA" w:rsidRPr="00E0618F" w:rsidRDefault="00E56BDA" w:rsidP="00E56BDA">
                      <w:pPr>
                        <w:spacing w:after="0"/>
                        <w:jc w:val="center"/>
                        <w:rPr>
                          <w:b/>
                          <w:bCs/>
                        </w:rPr>
                      </w:pPr>
                    </w:p>
                    <w:p w14:paraId="35784D6B" w14:textId="77777777" w:rsidR="00E56BDA" w:rsidRDefault="00E56BDA" w:rsidP="00E56BDA">
                      <w:pPr>
                        <w:spacing w:after="0"/>
                        <w:jc w:val="center"/>
                      </w:pPr>
                      <w:r w:rsidRPr="00CF17FF">
                        <w:t>All the</w:t>
                      </w:r>
                      <w:r>
                        <w:t xml:space="preserve"> risk indices and</w:t>
                      </w:r>
                      <w:r w:rsidRPr="00CF17FF">
                        <w:t xml:space="preserve"> data layers used to develop these indicators are accessible through an interactive </w:t>
                      </w:r>
                      <w:r>
                        <w:t>d</w:t>
                      </w:r>
                      <w:r w:rsidRPr="00CF17FF">
                        <w:t>ashboard created specifically for</w:t>
                      </w:r>
                      <w:r>
                        <w:t xml:space="preserve"> California and each of</w:t>
                      </w:r>
                      <w:r w:rsidRPr="00CF17FF">
                        <w:t xml:space="preserve"> the </w:t>
                      </w:r>
                      <w:r>
                        <w:t>12 tourism</w:t>
                      </w:r>
                      <w:r w:rsidRPr="00CF17FF">
                        <w:t xml:space="preserve"> region</w:t>
                      </w:r>
                      <w:r>
                        <w:t>s</w:t>
                      </w:r>
                      <w:r w:rsidRPr="00CF17FF">
                        <w:t>.</w:t>
                      </w:r>
                    </w:p>
                    <w:p w14:paraId="633EE4C6" w14:textId="77777777" w:rsidR="00E56BDA" w:rsidRDefault="00E56BDA" w:rsidP="00E56BDA">
                      <w:pPr>
                        <w:spacing w:after="0"/>
                        <w:jc w:val="center"/>
                      </w:pPr>
                    </w:p>
                    <w:p w14:paraId="43CD31A7" w14:textId="77777777" w:rsidR="005D1B94" w:rsidRDefault="005D1B94" w:rsidP="005D1B94">
                      <w:pPr>
                        <w:spacing w:after="0"/>
                        <w:jc w:val="center"/>
                      </w:pPr>
                      <w:r w:rsidRPr="00EE2D27">
                        <w:rPr>
                          <w:b/>
                          <w:bCs/>
                        </w:rPr>
                        <w:t xml:space="preserve">Explore the </w:t>
                      </w:r>
                      <w:r>
                        <w:rPr>
                          <w:b/>
                          <w:bCs/>
                        </w:rPr>
                        <w:t xml:space="preserve">Los Angeles County </w:t>
                      </w:r>
                      <w:r w:rsidRPr="00EE2D27">
                        <w:rPr>
                          <w:b/>
                          <w:bCs/>
                        </w:rPr>
                        <w:t xml:space="preserve">data here: </w:t>
                      </w:r>
                      <w:hyperlink r:id="rId24" w:history="1">
                        <w:r w:rsidRPr="00EE2D27">
                          <w:rPr>
                            <w:rStyle w:val="Hyperlink"/>
                            <w:b/>
                            <w:bCs/>
                          </w:rPr>
                          <w:t>Los Angeles County Dashboard</w:t>
                        </w:r>
                      </w:hyperlink>
                    </w:p>
                  </w:txbxContent>
                </v:textbox>
                <w10:anchorlock/>
              </v:shape>
            </w:pict>
          </mc:Fallback>
        </mc:AlternateContent>
      </w:r>
    </w:p>
    <w:p w14:paraId="7F67E43A" w14:textId="77777777" w:rsidR="0093585C" w:rsidRPr="0093585C" w:rsidRDefault="0093585C" w:rsidP="0093585C"/>
    <w:p w14:paraId="39E3B0FC" w14:textId="77777777" w:rsidR="00E56BDA" w:rsidRDefault="00E56BDA" w:rsidP="0051007D"/>
    <w:p w14:paraId="376511CF" w14:textId="325BBD5B" w:rsidR="00E56BDA" w:rsidRPr="00DB55D9" w:rsidRDefault="00E56BDA" w:rsidP="0051007D">
      <w:pPr>
        <w:sectPr w:rsidR="00E56BDA" w:rsidRPr="00DB55D9" w:rsidSect="00820ED4">
          <w:headerReference w:type="first" r:id="rId25"/>
          <w:footerReference w:type="first" r:id="rId26"/>
          <w:pgSz w:w="12240" w:h="15840"/>
          <w:pgMar w:top="1440" w:right="1080" w:bottom="1440" w:left="1080" w:header="720" w:footer="720" w:gutter="0"/>
          <w:cols w:space="720"/>
          <w:docGrid w:linePitch="360"/>
        </w:sectPr>
      </w:pPr>
    </w:p>
    <w:p w14:paraId="0AD40A42" w14:textId="67C549C4" w:rsidR="00820ED4" w:rsidRPr="002E45A9" w:rsidRDefault="00820ED4" w:rsidP="00DC7FDC">
      <w:pPr>
        <w:pStyle w:val="Heading1"/>
      </w:pPr>
      <w:bookmarkStart w:id="0" w:name="_Hlk182827300"/>
      <w:r w:rsidRPr="002E45A9">
        <w:lastRenderedPageBreak/>
        <w:t xml:space="preserve">CSF 1 </w:t>
      </w:r>
      <w:r w:rsidR="00142485">
        <w:t xml:space="preserve">— </w:t>
      </w:r>
      <w:r w:rsidRPr="002E45A9">
        <w:t xml:space="preserve">Understanding </w:t>
      </w:r>
      <w:r w:rsidRPr="002E45A9" w:rsidDel="003B0113">
        <w:t>Risks</w:t>
      </w:r>
    </w:p>
    <w:p w14:paraId="19D22250" w14:textId="435586CA" w:rsidR="009B1D2A" w:rsidRDefault="009B1D2A" w:rsidP="009B1D2A">
      <w:pPr>
        <w:rPr>
          <w:rFonts w:eastAsia="Calibri" w:cs="Calibri Light"/>
        </w:rPr>
      </w:pPr>
      <w:r w:rsidRPr="18E55A4C">
        <w:rPr>
          <w:rFonts w:eastAsia="Calibri" w:cs="Calibri Light"/>
        </w:rPr>
        <w:t>This CSF focuses on identifying, assessing</w:t>
      </w:r>
      <w:r w:rsidR="00E2142C" w:rsidRPr="18E55A4C">
        <w:rPr>
          <w:rFonts w:eastAsia="Calibri" w:cs="Calibri Light"/>
        </w:rPr>
        <w:t xml:space="preserve"> and</w:t>
      </w:r>
      <w:r w:rsidRPr="18E55A4C">
        <w:rPr>
          <w:rFonts w:eastAsia="Calibri" w:cs="Calibri Light"/>
        </w:rPr>
        <w:t xml:space="preserve"> communicating the risks that impact the tourism sector. </w:t>
      </w:r>
    </w:p>
    <w:p w14:paraId="789FEDE1" w14:textId="65BBBB8A" w:rsidR="2EAFF080" w:rsidRDefault="2EAFF080" w:rsidP="57D7F1AB">
      <w:pPr>
        <w:pStyle w:val="Heading3"/>
      </w:pPr>
      <w:r>
        <w:t>CSF 1 key findings</w:t>
      </w:r>
    </w:p>
    <w:p w14:paraId="637BD12F" w14:textId="77777777" w:rsidR="00DD55D9" w:rsidRPr="005600B9" w:rsidRDefault="00DD55D9" w:rsidP="18E55A4C">
      <w:r>
        <w:t>Los Angeles County’s top three risks to tourism infrastructure — earthquakes, heatwaves and drought — are clearly identified through the Tourism Risk Index, Average Annual Loss (AAL) calculations and climate change projections included in this report.</w:t>
      </w:r>
    </w:p>
    <w:p w14:paraId="2014E266" w14:textId="04A4E068" w:rsidR="00DD55D9" w:rsidRPr="005600B9" w:rsidRDefault="00DD55D9" w:rsidP="18E55A4C">
      <w:r>
        <w:t>Earthquakes pose the greatest financial threat to the tourism sector. Geological hazards</w:t>
      </w:r>
      <w:r w:rsidR="001360BC">
        <w:t>,</w:t>
      </w:r>
      <w:r>
        <w:t xml:space="preserve"> especially earthquakes</w:t>
      </w:r>
      <w:r w:rsidR="001360BC">
        <w:t>,</w:t>
      </w:r>
      <w:r>
        <w:t xml:space="preserve"> generate the highest AAL values for the county due to the presence of extensive tourism-related infrastructure (e.g., hotels, cultural venues and recreational attractions) located near fault lines. These events are rare but catastrophic, which significantly increases the county’s expected average annual losses. </w:t>
      </w:r>
    </w:p>
    <w:p w14:paraId="5C3E333A" w14:textId="77777777" w:rsidR="00DD55D9" w:rsidRPr="005600B9" w:rsidRDefault="00DD55D9" w:rsidP="18E55A4C">
      <w:r>
        <w:t>Heatwaves represent an escalating climate-related risk. Projected increases in the heatwave index under an intermediate emissions scenario (SSP370) shows that by 2050 and 2070, many inland areas (such as the San Fernando Valley) shift into the highest tiers of climate risk for extreme heat. These prolonged heat events affect not only visitor comfort but also safety, especially for at-risk populations like seniors and children. The tourism risk model incorporates maximum temperatures and frequency of heat extremes to quantify rising exposure</w:t>
      </w:r>
      <w:r w:rsidRPr="18E55A4C">
        <w:rPr>
          <w:rFonts w:ascii="Arial" w:hAnsi="Arial" w:cs="Arial"/>
        </w:rPr>
        <w:t>​</w:t>
      </w:r>
      <w:r>
        <w:t>.</w:t>
      </w:r>
    </w:p>
    <w:p w14:paraId="59401F8C" w14:textId="2588A057" w:rsidR="00DD55D9" w:rsidRPr="005600B9" w:rsidRDefault="00DD55D9" w:rsidP="18E55A4C">
      <w:r>
        <w:t xml:space="preserve">Drought is the third key risk and is evaluated through a climate change risk index based on variables such as precipitation, temperature and moisture availability. Los Angeles County ranks high on drought severity, with ongoing stress on parks, urban forests and landscaped tourism environments. The </w:t>
      </w:r>
      <w:r w:rsidR="004B44BD">
        <w:t xml:space="preserve">scorecard </w:t>
      </w:r>
      <w:r>
        <w:t xml:space="preserve">notes that water availability </w:t>
      </w:r>
      <w:r w:rsidR="0022384F">
        <w:t>is</w:t>
      </w:r>
      <w:r>
        <w:t xml:space="preserve"> among the lowest environmental indicators in the region, suggesting potential service disruptions or aesthetic degradation in tourism-facing assets</w:t>
      </w:r>
      <w:r w:rsidRPr="18E55A4C">
        <w:rPr>
          <w:rFonts w:ascii="Arial" w:hAnsi="Arial" w:cs="Arial"/>
        </w:rPr>
        <w:t>​</w:t>
      </w:r>
      <w:r>
        <w:t>.</w:t>
      </w:r>
    </w:p>
    <w:p w14:paraId="0641E9EB" w14:textId="21BA9F4D" w:rsidR="00DD55D9" w:rsidRDefault="00DD55D9" w:rsidP="00DD55D9">
      <w:r>
        <w:t>The gap between these quantified risks and stakeholder perception remains wide. Tourism decision-makers tend to focus more on short-term economic and health concerns, underestimating the operational and reputational risks posed by environmental hazards. Panelists rated the region’s performance low on criteria like risk perception, data sharing and understanding of tourism impacts, signaling that the sector lacks both the information access and analytical tools to act on the data already available</w:t>
      </w:r>
      <w:r w:rsidRPr="18E55A4C">
        <w:rPr>
          <w:rFonts w:ascii="Arial" w:hAnsi="Arial" w:cs="Arial"/>
        </w:rPr>
        <w:t>​</w:t>
      </w:r>
      <w:r>
        <w:t>.</w:t>
      </w:r>
    </w:p>
    <w:p w14:paraId="29B7A20E" w14:textId="77777777" w:rsidR="00DD55D9" w:rsidRDefault="00DD55D9" w:rsidP="00DD55D9">
      <w:r>
        <w:t>Data accessibility and shared resources have emerged as significant challenges in Los Angeles County's tourism industry. The lack of a centralized information repository hampers effective risk management and the implementation of sustainable practices. Despite these challenges, there is a clear willingness among stakeholders to improve their approach to risk management and sustainability. Many express a need for guidance and practical tools to help them navigate these complex issues, indicating a positive attitude towards enhancing their risk management capabilities.</w:t>
      </w:r>
    </w:p>
    <w:p w14:paraId="7AF11DD3" w14:textId="77777777" w:rsidR="00FD39CC" w:rsidRDefault="00DD55D9" w:rsidP="00DD55D9">
      <w:r>
        <w:t xml:space="preserve">Collaboration and policy consistency in risk management present additional hurdles for Los Angeles County. While some entities demonstrate effective coordination with various agencies on incident and emergency response, ensuring consistent policies and procedures across different organizations remains challenging. Leadership changes in various organizations can impact the implementation and continuity of risk management policies, highlighting the need for more robust, institutionalized practices. </w:t>
      </w:r>
    </w:p>
    <w:p w14:paraId="58E536AF" w14:textId="0F7E08C5" w:rsidR="00DD55D9" w:rsidRDefault="00DD55D9" w:rsidP="00DD55D9">
      <w:r>
        <w:lastRenderedPageBreak/>
        <w:t xml:space="preserve">The </w:t>
      </w:r>
      <w:r w:rsidR="00E46A06">
        <w:t xml:space="preserve">scorecard’s </w:t>
      </w:r>
      <w:r>
        <w:t>climate and hazard indexes — especially AAL — provide a starting point for the tourism industry to align its preparedness and sustainability strategies with the actual risks facing its assets and audiences. To address these issues, Los Angeles County should focus on developing strategies that enhance risk awareness across all potential hazards, improve data sharing mechanisms and foster better communication between tourism stakeholders and emergency planning entities. Creating centralized resources and guidance for tourism stakeholders could significantly improve risk management practices and sustainability efforts across the county.</w:t>
      </w:r>
    </w:p>
    <w:p w14:paraId="56AD1C59" w14:textId="77777777" w:rsidR="00C90640" w:rsidRDefault="00C90640" w:rsidP="00DD55D9"/>
    <w:p w14:paraId="36FA3BE1" w14:textId="1244D7C8" w:rsidR="00831C15" w:rsidRPr="002E45A9" w:rsidRDefault="00831C15" w:rsidP="18E55A4C">
      <w:pPr>
        <w:rPr>
          <w:rFonts w:eastAsia="Calibri" w:cs="Calibri Light"/>
        </w:rPr>
      </w:pPr>
      <w:r>
        <w:rPr>
          <w:rFonts w:eastAsia="Calibri" w:cs="Calibri Light"/>
          <w:noProof/>
        </w:rPr>
        <w:drawing>
          <wp:inline distT="0" distB="0" distL="0" distR="0" wp14:anchorId="6F3C3553" wp14:editId="7981B6BD">
            <wp:extent cx="6400800" cy="2202085"/>
            <wp:effectExtent l="0" t="0" r="0" b="0"/>
            <wp:docPr id="81559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4224"/>
                    <a:stretch/>
                  </pic:blipFill>
                  <pic:spPr bwMode="auto">
                    <a:xfrm>
                      <a:off x="0" y="0"/>
                      <a:ext cx="6400800" cy="220208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18B7D9DB" w14:textId="77777777" w:rsidR="00C90640" w:rsidRDefault="00C90640" w:rsidP="00C90640"/>
    <w:p w14:paraId="3CA5DC64" w14:textId="4A256C48" w:rsidR="00C75318" w:rsidRDefault="1193519E" w:rsidP="18E55A4C">
      <w:pPr>
        <w:pStyle w:val="Heading3"/>
        <w:rPr>
          <w:rFonts w:eastAsia="Source Sans Pro Light" w:cs="Source Sans Pro Light"/>
          <w:iCs/>
          <w:szCs w:val="26"/>
        </w:rPr>
      </w:pPr>
      <w:r w:rsidRPr="18E55A4C">
        <w:rPr>
          <w:rFonts w:eastAsia="Source Sans Pro Light" w:cs="Source Sans Pro Light"/>
          <w:iCs/>
          <w:szCs w:val="26"/>
        </w:rPr>
        <w:t>CSF 1 quantitative ratings and findings</w:t>
      </w:r>
    </w:p>
    <w:p w14:paraId="24A31699" w14:textId="1DE0D5C3" w:rsidR="00C75318" w:rsidRDefault="1193519E" w:rsidP="18E55A4C">
      <w:pPr>
        <w:rPr>
          <w:rFonts w:eastAsia="Source Sans Pro Light" w:cs="Source Sans Pro Light"/>
          <w:color w:val="000000" w:themeColor="text1"/>
        </w:rPr>
      </w:pPr>
      <w:r w:rsidRPr="18E55A4C">
        <w:rPr>
          <w:rFonts w:eastAsia="Source Sans Pro Light" w:cs="Source Sans Pro Light"/>
          <w:color w:val="000000" w:themeColor="text1"/>
          <w:lang w:val="en-CA"/>
        </w:rPr>
        <w:t>CSF 1 assesses various geological risks including earthquakes, landslides and tsunamis, as well as hydrometeorological and other hazards such as floods, windstorms, heatwaves, hail and wildfires, evaluating their impact on the region's tourism exposure data.</w:t>
      </w:r>
    </w:p>
    <w:p w14:paraId="29FF4390" w14:textId="4B2252C3" w:rsidR="00C75318" w:rsidRDefault="1193519E" w:rsidP="18E55A4C">
      <w:pPr>
        <w:rPr>
          <w:rFonts w:eastAsia="Source Sans Pro Light" w:cs="Source Sans Pro Light"/>
          <w:color w:val="000000" w:themeColor="text1"/>
        </w:rPr>
      </w:pPr>
      <w:r w:rsidRPr="18E55A4C">
        <w:rPr>
          <w:rFonts w:eastAsia="Source Sans Pro Light" w:cs="Source Sans Pro Light"/>
          <w:color w:val="000000" w:themeColor="text1"/>
        </w:rPr>
        <w:t xml:space="preserve">To assess tourism exposure for loss calculations (AAL - Average Annual Loss), the RES4, COM8 and COM9 occupancy classes from </w:t>
      </w:r>
      <w:hyperlink r:id="rId28">
        <w:r w:rsidRPr="18E55A4C">
          <w:rPr>
            <w:rStyle w:val="Hyperlink"/>
            <w:rFonts w:eastAsia="Source Sans Pro Light" w:cs="Source Sans Pro Light"/>
          </w:rPr>
          <w:t xml:space="preserve">FEMA’s </w:t>
        </w:r>
        <w:proofErr w:type="spellStart"/>
        <w:r w:rsidRPr="18E55A4C">
          <w:rPr>
            <w:rStyle w:val="Hyperlink"/>
            <w:rFonts w:eastAsia="Source Sans Pro Light" w:cs="Source Sans Pro Light"/>
          </w:rPr>
          <w:t>Hazus</w:t>
        </w:r>
        <w:proofErr w:type="spellEnd"/>
        <w:r w:rsidRPr="18E55A4C">
          <w:rPr>
            <w:rStyle w:val="Hyperlink"/>
            <w:rFonts w:eastAsia="Source Sans Pro Light" w:cs="Source Sans Pro Light"/>
          </w:rPr>
          <w:t xml:space="preserve"> National Building Inventory</w:t>
        </w:r>
      </w:hyperlink>
      <w:r w:rsidRPr="18E55A4C">
        <w:rPr>
          <w:rFonts w:eastAsia="Source Sans Pro Light" w:cs="Source Sans Pro Light"/>
          <w:color w:val="000000" w:themeColor="text1"/>
          <w:vertAlign w:val="superscript"/>
        </w:rPr>
        <w:t>1</w:t>
      </w:r>
      <w:r w:rsidRPr="18E55A4C">
        <w:rPr>
          <w:rFonts w:eastAsia="Source Sans Pro Light" w:cs="Source Sans Pro Light"/>
          <w:color w:val="000000" w:themeColor="text1"/>
        </w:rPr>
        <w:t xml:space="preserve"> were chosen; AAL represents the estimated financial loss a location can expect to incur each year from disasters, averaged over time based on hazard frequency and severity.</w:t>
      </w:r>
    </w:p>
    <w:p w14:paraId="410294CD" w14:textId="58288569" w:rsidR="00C75318" w:rsidRDefault="1193519E" w:rsidP="18E55A4C">
      <w:pPr>
        <w:rPr>
          <w:rFonts w:eastAsia="Source Sans Pro Light" w:cs="Source Sans Pro Light"/>
          <w:color w:val="000000" w:themeColor="text1"/>
        </w:rPr>
      </w:pPr>
      <w:r w:rsidRPr="18E55A4C">
        <w:rPr>
          <w:rFonts w:eastAsia="Source Sans Pro Light" w:cs="Source Sans Pro Light"/>
          <w:color w:val="000000" w:themeColor="text1"/>
        </w:rPr>
        <w:t>These FEMA classes collectively represent the accommodations, entertainment and cultural attractions that define tourism infrastructure:</w:t>
      </w:r>
    </w:p>
    <w:p w14:paraId="5FEA3949" w14:textId="01130BCA" w:rsidR="00C75318" w:rsidRDefault="1193519E" w:rsidP="18E55A4C">
      <w:pPr>
        <w:pStyle w:val="ListParagraph"/>
        <w:numPr>
          <w:ilvl w:val="0"/>
          <w:numId w:val="4"/>
        </w:numPr>
        <w:rPr>
          <w:rFonts w:eastAsia="Source Sans Pro Light" w:cs="Source Sans Pro Light"/>
          <w:color w:val="000000" w:themeColor="text1"/>
        </w:rPr>
      </w:pPr>
      <w:r w:rsidRPr="18E55A4C">
        <w:rPr>
          <w:rFonts w:eastAsia="Source Sans Pro Light" w:cs="Source Sans Pro Light"/>
          <w:color w:val="000000" w:themeColor="text1"/>
        </w:rPr>
        <w:t>RES4 (temporary lodging) includes hotels, motels and resorts where tourists stay.</w:t>
      </w:r>
    </w:p>
    <w:p w14:paraId="703F02A2" w14:textId="66F43663" w:rsidR="00C75318" w:rsidRDefault="1193519E" w:rsidP="18E55A4C">
      <w:pPr>
        <w:pStyle w:val="ListParagraph"/>
        <w:numPr>
          <w:ilvl w:val="0"/>
          <w:numId w:val="4"/>
        </w:numPr>
        <w:rPr>
          <w:rFonts w:eastAsia="Source Sans Pro Light" w:cs="Source Sans Pro Light"/>
          <w:color w:val="000000" w:themeColor="text1"/>
        </w:rPr>
      </w:pPr>
      <w:r w:rsidRPr="18E55A4C">
        <w:rPr>
          <w:rFonts w:eastAsia="Source Sans Pro Light" w:cs="Source Sans Pro Light"/>
          <w:color w:val="000000" w:themeColor="text1"/>
        </w:rPr>
        <w:t>COM8 (entertainment &amp; recreation) encompasses amusement parks, casinos, stadiums, golf courses and other leisure venues.</w:t>
      </w:r>
    </w:p>
    <w:p w14:paraId="75ACE874" w14:textId="0B6F8775" w:rsidR="00C75318" w:rsidRDefault="1193519E" w:rsidP="18E55A4C">
      <w:pPr>
        <w:pStyle w:val="ListParagraph"/>
        <w:numPr>
          <w:ilvl w:val="0"/>
          <w:numId w:val="4"/>
        </w:numPr>
        <w:rPr>
          <w:rFonts w:eastAsia="Source Sans Pro Light" w:cs="Source Sans Pro Light"/>
          <w:color w:val="000000" w:themeColor="text1"/>
        </w:rPr>
      </w:pPr>
      <w:r w:rsidRPr="18E55A4C">
        <w:rPr>
          <w:rFonts w:eastAsia="Source Sans Pro Light" w:cs="Source Sans Pro Light"/>
          <w:color w:val="000000" w:themeColor="text1"/>
        </w:rPr>
        <w:t>COM9 (theaters &amp; cultural facilities) covers museums, performing arts centers and historic attractions.</w:t>
      </w:r>
    </w:p>
    <w:p w14:paraId="23C63CD7" w14:textId="429F724F" w:rsidR="00C75318" w:rsidRDefault="1193519E" w:rsidP="18E55A4C">
      <w:pPr>
        <w:rPr>
          <w:rFonts w:eastAsia="Source Sans Pro Light" w:cs="Source Sans Pro Light"/>
          <w:color w:val="000000" w:themeColor="text1"/>
        </w:rPr>
      </w:pPr>
      <w:r w:rsidRPr="18E55A4C">
        <w:rPr>
          <w:rFonts w:eastAsia="Source Sans Pro Light" w:cs="Source Sans Pro Light"/>
          <w:color w:val="000000" w:themeColor="text1"/>
        </w:rPr>
        <w:t>CSF 1 assesses the understanding of risks to tourism using the following quantitative metrics:</w:t>
      </w:r>
    </w:p>
    <w:p w14:paraId="404A7102" w14:textId="6EC04453" w:rsidR="00C75318" w:rsidRDefault="1193519E" w:rsidP="18E55A4C">
      <w:pPr>
        <w:pStyle w:val="Heading4"/>
        <w:rPr>
          <w:rFonts w:eastAsia="Source Sans Pro Light" w:cs="Source Sans Pro Light"/>
        </w:rPr>
      </w:pPr>
      <w:r w:rsidRPr="18E55A4C">
        <w:rPr>
          <w:rFonts w:eastAsia="Source Sans Pro Light" w:cs="Source Sans Pro Light"/>
        </w:rPr>
        <w:lastRenderedPageBreak/>
        <w:t>Tourism risk index (geological and hydrometeorological)</w:t>
      </w:r>
    </w:p>
    <w:p w14:paraId="2CF386B2" w14:textId="722EC508" w:rsidR="00C75318" w:rsidRDefault="1193519E" w:rsidP="18E55A4C">
      <w:pPr>
        <w:ind w:left="360"/>
        <w:rPr>
          <w:rFonts w:eastAsia="Source Sans Pro Light" w:cs="Source Sans Pro Light"/>
          <w:color w:val="000000" w:themeColor="text1"/>
        </w:rPr>
      </w:pPr>
      <w:r w:rsidRPr="18E55A4C">
        <w:rPr>
          <w:rFonts w:eastAsia="Source Sans Pro Light" w:cs="Source Sans Pro Light"/>
          <w:color w:val="000000" w:themeColor="text1"/>
        </w:rPr>
        <w:t xml:space="preserve">Incorporates </w:t>
      </w:r>
      <w:proofErr w:type="spellStart"/>
      <w:r w:rsidRPr="18E55A4C">
        <w:rPr>
          <w:rFonts w:eastAsia="Source Sans Pro Light" w:cs="Source Sans Pro Light"/>
          <w:color w:val="000000" w:themeColor="text1"/>
        </w:rPr>
        <w:t>Risklayer</w:t>
      </w:r>
      <w:proofErr w:type="spellEnd"/>
      <w:r w:rsidRPr="18E55A4C">
        <w:rPr>
          <w:rFonts w:eastAsia="Source Sans Pro Light" w:cs="Source Sans Pro Light"/>
          <w:color w:val="000000" w:themeColor="text1"/>
        </w:rPr>
        <w:t xml:space="preserve"> modeling of average annual losses (AAL) from exposed accommodations and tourism attractions. The Federal Emergency Management Agency (FEMA) </w:t>
      </w:r>
      <w:hyperlink r:id="rId29">
        <w:r w:rsidRPr="18E55A4C">
          <w:rPr>
            <w:rStyle w:val="Hyperlink"/>
            <w:rFonts w:eastAsia="Source Sans Pro Light" w:cs="Source Sans Pro Light"/>
          </w:rPr>
          <w:t>National Risk Index</w:t>
        </w:r>
      </w:hyperlink>
      <w:r w:rsidRPr="18E55A4C">
        <w:rPr>
          <w:rFonts w:eastAsia="Source Sans Pro Light" w:cs="Source Sans Pro Light"/>
          <w:color w:val="000000" w:themeColor="text1"/>
        </w:rPr>
        <w:t xml:space="preserve">, which compiles data from various sources, provides the hazard models. </w:t>
      </w:r>
    </w:p>
    <w:p w14:paraId="18B5E05B" w14:textId="3D4FA3EF" w:rsidR="00C75318" w:rsidRDefault="1193519E" w:rsidP="18E55A4C">
      <w:pPr>
        <w:ind w:left="360"/>
        <w:rPr>
          <w:rFonts w:eastAsia="Source Sans Pro Light" w:cs="Source Sans Pro Light"/>
          <w:color w:val="000000" w:themeColor="text1"/>
        </w:rPr>
      </w:pPr>
      <w:r w:rsidRPr="18E55A4C">
        <w:rPr>
          <w:rFonts w:eastAsia="Source Sans Pro Light" w:cs="Source Sans Pro Light"/>
          <w:color w:val="000000" w:themeColor="text1"/>
        </w:rPr>
        <w:t>The geological index evaluates risks from earthquakes, landslides, volcanoes and tsunamis, all linked to geological processes. The hydrometeorological tourism risk index assesses natural hazards associated with atmospheric processes, including floods, hurricanes and wildfires. All hazards were analyzed and integrated into the index score, allowing identification and highlighting of the highest risks in the findings.</w:t>
      </w:r>
    </w:p>
    <w:p w14:paraId="57452183" w14:textId="3099ABF9" w:rsidR="00C75318" w:rsidRDefault="1193519E" w:rsidP="18E55A4C">
      <w:pPr>
        <w:pStyle w:val="Heading4"/>
        <w:rPr>
          <w:rFonts w:eastAsia="Source Sans Pro Light" w:cs="Source Sans Pro Light"/>
        </w:rPr>
      </w:pPr>
      <w:r w:rsidRPr="18E55A4C">
        <w:rPr>
          <w:rFonts w:eastAsia="Source Sans Pro Light" w:cs="Source Sans Pro Light"/>
        </w:rPr>
        <w:t>Climate change risk index</w:t>
      </w:r>
    </w:p>
    <w:p w14:paraId="53FF4A1E" w14:textId="7A3B6390" w:rsidR="00C75318" w:rsidRDefault="1193519E" w:rsidP="18E55A4C">
      <w:pPr>
        <w:ind w:left="360"/>
        <w:rPr>
          <w:rFonts w:eastAsia="Source Sans Pro Light" w:cs="Source Sans Pro Light"/>
          <w:color w:val="000000" w:themeColor="text1"/>
        </w:rPr>
      </w:pPr>
      <w:r w:rsidRPr="18E55A4C">
        <w:rPr>
          <w:rFonts w:eastAsia="Source Sans Pro Light" w:cs="Source Sans Pro Light"/>
          <w:color w:val="000000" w:themeColor="text1"/>
        </w:rPr>
        <w:t xml:space="preserve">Assesses the severity of climate-related events, such as heatwaves, droughts, snowfall and increased precipitation, on tourism assets and local communities. Each climate indicator is calculated using different metrics, like mean annual precipitation, extreme maximum temperature and precipitation as snow, for different CMIP6 climate scenarios (ssp245, ssp370, ssp585) and projected years (2030, 2050, 2070, 2090) provided from </w:t>
      </w:r>
      <w:hyperlink r:id="rId30">
        <w:proofErr w:type="spellStart"/>
        <w:r w:rsidRPr="18E55A4C">
          <w:rPr>
            <w:rStyle w:val="Hyperlink"/>
            <w:rFonts w:eastAsia="Source Sans Pro Light" w:cs="Source Sans Pro Light"/>
          </w:rPr>
          <w:t>AdaptWest</w:t>
        </w:r>
        <w:proofErr w:type="spellEnd"/>
      </w:hyperlink>
      <w:r w:rsidRPr="18E55A4C">
        <w:rPr>
          <w:rFonts w:eastAsia="Source Sans Pro Light" w:cs="Source Sans Pro Light"/>
          <w:color w:val="000000" w:themeColor="text1"/>
        </w:rPr>
        <w:t xml:space="preserve">. The climate change risk index uses a scale from 0 (low risk) to 100 (high risk) to indicate the intensity of these events, highlighting the areas that are most affected by climate variability. </w:t>
      </w:r>
    </w:p>
    <w:p w14:paraId="06D91B30" w14:textId="2B45F8FB" w:rsidR="00C75318" w:rsidRDefault="1193519E" w:rsidP="18E55A4C">
      <w:pPr>
        <w:pStyle w:val="Heading4"/>
        <w:rPr>
          <w:rFonts w:eastAsia="Source Sans Pro Light" w:cs="Source Sans Pro Light"/>
        </w:rPr>
      </w:pPr>
      <w:r w:rsidRPr="18E55A4C">
        <w:rPr>
          <w:rFonts w:eastAsia="Source Sans Pro Light" w:cs="Source Sans Pro Light"/>
        </w:rPr>
        <w:t>Annual disaster loss (% tourism exposure)</w:t>
      </w:r>
    </w:p>
    <w:p w14:paraId="34F2859F" w14:textId="6192BAAF" w:rsidR="00C75318" w:rsidRDefault="1193519E" w:rsidP="18E55A4C">
      <w:pPr>
        <w:ind w:left="360"/>
        <w:rPr>
          <w:rFonts w:eastAsia="Source Sans Pro Light" w:cs="Source Sans Pro Light"/>
          <w:color w:val="000000" w:themeColor="text1"/>
        </w:rPr>
      </w:pPr>
      <w:r w:rsidRPr="18E55A4C">
        <w:rPr>
          <w:rFonts w:eastAsia="Source Sans Pro Light" w:cs="Source Sans Pro Light"/>
          <w:color w:val="000000" w:themeColor="text1"/>
        </w:rPr>
        <w:t xml:space="preserve">Represents the proportion of tourism-related infrastructure exposed to natural disasters and climate impacts, calculated as a percentage of average annual losses. This index helps quantify the economic vulnerability of the tourism sector to recurring disasters. The data originates from FEMA’s </w:t>
      </w:r>
      <w:hyperlink r:id="rId31">
        <w:r w:rsidRPr="18E55A4C">
          <w:rPr>
            <w:rStyle w:val="Hyperlink"/>
            <w:rFonts w:eastAsia="Source Sans Pro Light" w:cs="Source Sans Pro Light"/>
          </w:rPr>
          <w:t>National Risk Index</w:t>
        </w:r>
      </w:hyperlink>
      <w:r w:rsidRPr="18E55A4C">
        <w:rPr>
          <w:rFonts w:eastAsia="Source Sans Pro Light" w:cs="Source Sans Pro Light"/>
          <w:color w:val="000000" w:themeColor="text1"/>
        </w:rPr>
        <w:t>, a dataset that assesses the relative risk of 18 natural hazards across the United States, combining hazard risk, exposure and social vulnerability data to produce a comprehensive risk score.</w:t>
      </w:r>
    </w:p>
    <w:p w14:paraId="65C0B0C5" w14:textId="34D2F16C" w:rsidR="00C75318" w:rsidRDefault="1193519E" w:rsidP="18E55A4C">
      <w:pPr>
        <w:pStyle w:val="Heading4"/>
        <w:rPr>
          <w:rFonts w:eastAsia="Source Sans Pro Light" w:cs="Source Sans Pro Light"/>
        </w:rPr>
      </w:pPr>
      <w:r w:rsidRPr="18E55A4C">
        <w:rPr>
          <w:rFonts w:eastAsia="Source Sans Pro Light" w:cs="Source Sans Pro Light"/>
        </w:rPr>
        <w:t>Safety and security index</w:t>
      </w:r>
    </w:p>
    <w:p w14:paraId="3337EF1C" w14:textId="023AA91B" w:rsidR="00C75318" w:rsidRDefault="1193519E" w:rsidP="18E55A4C">
      <w:pPr>
        <w:ind w:left="360"/>
        <w:rPr>
          <w:rFonts w:eastAsia="Source Sans Pro Light" w:cs="Source Sans Pro Light"/>
          <w:color w:val="000000" w:themeColor="text1"/>
        </w:rPr>
      </w:pPr>
      <w:r w:rsidRPr="18E55A4C">
        <w:rPr>
          <w:rFonts w:eastAsia="Source Sans Pro Light" w:cs="Source Sans Pro Light"/>
          <w:color w:val="000000" w:themeColor="text1"/>
        </w:rPr>
        <w:t xml:space="preserve">Evaluates public safety and security conditions for tourists, considering factors like crime rates, healthcare access and family-friendliness to provide a holistic view of personal security and the overall quality of safety in the region. Additionally, this index incorporates indicators such as COVID-19 vaccination data (specifically the percentage of population with 1+ dose) from </w:t>
      </w:r>
      <w:hyperlink r:id="rId32">
        <w:proofErr w:type="spellStart"/>
        <w:r w:rsidRPr="18E55A4C">
          <w:rPr>
            <w:rStyle w:val="Hyperlink"/>
            <w:rFonts w:eastAsia="Source Sans Pro Light" w:cs="Source Sans Pro Light"/>
          </w:rPr>
          <w:t>CovidActNow</w:t>
        </w:r>
        <w:proofErr w:type="spellEnd"/>
      </w:hyperlink>
      <w:r w:rsidRPr="18E55A4C">
        <w:rPr>
          <w:rFonts w:eastAsia="Source Sans Pro Light" w:cs="Source Sans Pro Light"/>
          <w:color w:val="000000" w:themeColor="text1"/>
        </w:rPr>
        <w:t xml:space="preserve"> and homelessness data from the U.S. Department of Housing and Urban Development (</w:t>
      </w:r>
      <w:hyperlink r:id="rId33">
        <w:r w:rsidRPr="18E55A4C">
          <w:rPr>
            <w:rStyle w:val="Hyperlink"/>
            <w:rFonts w:eastAsia="Source Sans Pro Light" w:cs="Source Sans Pro Light"/>
          </w:rPr>
          <w:t>HUD</w:t>
        </w:r>
      </w:hyperlink>
      <w:r w:rsidRPr="18E55A4C">
        <w:rPr>
          <w:rFonts w:eastAsia="Source Sans Pro Light" w:cs="Source Sans Pro Light"/>
          <w:color w:val="000000" w:themeColor="text1"/>
        </w:rPr>
        <w:t>).</w:t>
      </w:r>
    </w:p>
    <w:p w14:paraId="1BA5A303" w14:textId="10794F33" w:rsidR="00C75318" w:rsidRDefault="1193519E" w:rsidP="18E55A4C">
      <w:pPr>
        <w:pStyle w:val="Heading4"/>
        <w:rPr>
          <w:rFonts w:eastAsia="Source Sans Pro Light" w:cs="Source Sans Pro Light"/>
        </w:rPr>
      </w:pPr>
      <w:r w:rsidRPr="18E55A4C">
        <w:rPr>
          <w:rFonts w:eastAsia="Source Sans Pro Light" w:cs="Source Sans Pro Light"/>
        </w:rPr>
        <w:t>Economic risk index</w:t>
      </w:r>
    </w:p>
    <w:p w14:paraId="5762A83A" w14:textId="1135D42D" w:rsidR="00C75318" w:rsidRDefault="1193519E" w:rsidP="18E55A4C">
      <w:pPr>
        <w:ind w:left="360"/>
        <w:rPr>
          <w:rFonts w:eastAsia="Source Sans Pro Light" w:cs="Source Sans Pro Light"/>
          <w:color w:val="000000" w:themeColor="text1"/>
        </w:rPr>
      </w:pPr>
      <w:r w:rsidRPr="18E55A4C">
        <w:rPr>
          <w:rFonts w:eastAsia="Source Sans Pro Light" w:cs="Source Sans Pro Light"/>
          <w:color w:val="000000" w:themeColor="text1"/>
        </w:rPr>
        <w:t>Measures economic stability and risks in areas with significant tourism activity, highlighting economic pressures that could impact the sustainability of the tourism industry. It considers factors like workforce availability (unemployment rate), housing affordability and economic stability. Housing affordability assesses the financial ability of a typical household to purchase an existing home in an area. Economic stability describes the relationship between non-workers and the employed population.</w:t>
      </w:r>
    </w:p>
    <w:p w14:paraId="18DFE954" w14:textId="7EDCA8C9" w:rsidR="00F21981" w:rsidRPr="0050622D" w:rsidRDefault="00F21981" w:rsidP="00F21981">
      <w:r>
        <w:t xml:space="preserve">Los Angeles County experiences a Mediterranean climate, characterized by warm, dry summers and mild winters. Its year-round pleasant weather has long been a major draw for tourists. However, climate change is projected to increase the frequency and intensity of heatwaves and droughts, posing significant challenges to the area's tourism and urban environment. During summer months, extreme heat could deter visitors due to uncomfortable conditions, particularly in inland areas like the San Fernando Valley. Coastal regions such as Santa Monica may see increased tourism as people seek relief from the heat. The county's diverse microclimates, from beaches to </w:t>
      </w:r>
      <w:r>
        <w:lastRenderedPageBreak/>
        <w:t>mountains, will experience varying impacts. These conditions threaten outdoor attractions, events and green spaces, potentially affecting the region's appeal to tourists. The urban heat island effect may intensify in densely populated areas, while prolonged droughts could stress the county's parks and urban forests, crucial for maintaining the area's aesthetic and environmental quality.</w:t>
      </w:r>
    </w:p>
    <w:p w14:paraId="6106E998" w14:textId="77777777" w:rsidR="00F21981" w:rsidRPr="0050622D" w:rsidRDefault="00F21981" w:rsidP="00F21981">
      <w:pPr>
        <w:rPr>
          <w:b/>
          <w:bCs/>
          <w:i/>
          <w:iCs/>
        </w:rPr>
      </w:pPr>
      <w:r w:rsidRPr="0050622D">
        <w:rPr>
          <w:b/>
          <w:bCs/>
          <w:i/>
          <w:iCs/>
        </w:rPr>
        <w:t>Figure 1a. Earthquake risk</w:t>
      </w:r>
    </w:p>
    <w:p w14:paraId="46C6634C" w14:textId="4873DE7D" w:rsidR="00FD39CC" w:rsidRDefault="00F21981" w:rsidP="00F21981">
      <w:pPr>
        <w:spacing w:line="278" w:lineRule="auto"/>
      </w:pPr>
      <w:r w:rsidRPr="0050622D">
        <w:rPr>
          <w:noProof/>
        </w:rPr>
        <w:drawing>
          <wp:anchor distT="0" distB="0" distL="114300" distR="114300" simplePos="0" relativeHeight="251658241" behindDoc="0" locked="0" layoutInCell="1" allowOverlap="1" wp14:anchorId="5154F65D" wp14:editId="28CB3909">
            <wp:simplePos x="0" y="0"/>
            <wp:positionH relativeFrom="column">
              <wp:posOffset>1270</wp:posOffset>
            </wp:positionH>
            <wp:positionV relativeFrom="paragraph">
              <wp:posOffset>0</wp:posOffset>
            </wp:positionV>
            <wp:extent cx="2865530" cy="3200400"/>
            <wp:effectExtent l="0" t="0" r="5080" b="0"/>
            <wp:wrapSquare wrapText="bothSides"/>
            <wp:docPr id="1763014363" name="Picture 1" descr="A map of the california earthqu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14363" name="Picture 1" descr="A map of the california earthquak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865530" cy="3200400"/>
                    </a:xfrm>
                    <a:prstGeom prst="rect">
                      <a:avLst/>
                    </a:prstGeom>
                  </pic:spPr>
                </pic:pic>
              </a:graphicData>
            </a:graphic>
            <wp14:sizeRelH relativeFrom="page">
              <wp14:pctWidth>0</wp14:pctWidth>
            </wp14:sizeRelH>
            <wp14:sizeRelV relativeFrom="page">
              <wp14:pctHeight>0</wp14:pctHeight>
            </wp14:sizeRelV>
          </wp:anchor>
        </w:drawing>
      </w:r>
      <w:r>
        <w:t xml:space="preserve">Figure 1a shows effects (AAL) from earthquakes for tourism assets in Los Angeles. As can be seen in the CSF1 Scorecard, geological risks have the highest rating for the Los Angeles region compared to all other risks. </w:t>
      </w:r>
    </w:p>
    <w:p w14:paraId="5A604BD4" w14:textId="77777777" w:rsidR="00FD39CC" w:rsidRDefault="00F21981" w:rsidP="00F21981">
      <w:pPr>
        <w:spacing w:line="278" w:lineRule="auto"/>
      </w:pPr>
      <w:r>
        <w:t xml:space="preserve">The Average Annual Loss (AAL) for Los Angeles is high due to the inclusion of potential damages from low-frequency but high-impact earthquakes, which significantly raise the annual loss calculations. </w:t>
      </w:r>
    </w:p>
    <w:p w14:paraId="123C0573" w14:textId="1099787E" w:rsidR="00FD39CC" w:rsidRPr="00FD39CC" w:rsidRDefault="00F21981" w:rsidP="00C90640">
      <w:pPr>
        <w:spacing w:after="0" w:line="278" w:lineRule="auto"/>
      </w:pPr>
      <w:r>
        <w:t>The map shows both relative distribution in terms of percent of the total AAL coming from tourism assets, as well as the absolute loss values for the different Census Tracts of Los Angeles. In this case the total asset value of tourism assets is estimated by looking at the capital stock value of hotels, restaurants and tourism-related businesses.</w:t>
      </w:r>
    </w:p>
    <w:p w14:paraId="1C8323AF" w14:textId="77777777" w:rsidR="00FD39CC" w:rsidRDefault="00FD39CC" w:rsidP="00FD39CC">
      <w:pPr>
        <w:rPr>
          <w:i/>
          <w:iCs/>
          <w:sz w:val="20"/>
          <w:szCs w:val="20"/>
        </w:rPr>
      </w:pPr>
    </w:p>
    <w:p w14:paraId="72A90B7F" w14:textId="79072794" w:rsidR="00F21981" w:rsidRPr="0050622D" w:rsidRDefault="00FD39CC" w:rsidP="00FD39CC">
      <w:pPr>
        <w:rPr>
          <w:b/>
          <w:bCs/>
          <w:i/>
          <w:iCs/>
        </w:rPr>
      </w:pPr>
      <w:r w:rsidRPr="471179E9">
        <w:rPr>
          <w:i/>
          <w:iCs/>
          <w:sz w:val="20"/>
          <w:szCs w:val="20"/>
        </w:rPr>
        <w:t xml:space="preserve">Source: </w:t>
      </w:r>
      <w:proofErr w:type="spellStart"/>
      <w:r w:rsidRPr="471179E9">
        <w:rPr>
          <w:i/>
          <w:iCs/>
          <w:sz w:val="20"/>
          <w:szCs w:val="20"/>
        </w:rPr>
        <w:t>Risklayer</w:t>
      </w:r>
      <w:proofErr w:type="spellEnd"/>
      <w:r w:rsidRPr="471179E9">
        <w:rPr>
          <w:i/>
          <w:iCs/>
          <w:sz w:val="20"/>
          <w:szCs w:val="20"/>
        </w:rPr>
        <w:t xml:space="preserve"> GmbH</w:t>
      </w:r>
    </w:p>
    <w:p w14:paraId="5A2AECE3" w14:textId="77777777" w:rsidR="00F21981" w:rsidRPr="0050622D" w:rsidRDefault="00F21981" w:rsidP="00F21981">
      <w:pPr>
        <w:rPr>
          <w:b/>
          <w:bCs/>
          <w:i/>
          <w:iCs/>
        </w:rPr>
      </w:pPr>
      <w:r w:rsidRPr="0050622D">
        <w:rPr>
          <w:b/>
          <w:bCs/>
          <w:i/>
          <w:iCs/>
        </w:rPr>
        <w:t>Figure 1b. Heatwave climate change risk index for 2030, 2050 and 2070 for ssp370 emissions scenario</w:t>
      </w:r>
    </w:p>
    <w:p w14:paraId="510C518A" w14:textId="77777777" w:rsidR="00A012C5" w:rsidRDefault="00F21981" w:rsidP="00FD39CC">
      <w:pPr>
        <w:rPr>
          <w:i/>
          <w:iCs/>
          <w:sz w:val="20"/>
          <w:szCs w:val="20"/>
        </w:rPr>
      </w:pPr>
      <w:r>
        <w:rPr>
          <w:noProof/>
        </w:rPr>
        <w:drawing>
          <wp:inline distT="0" distB="0" distL="0" distR="0" wp14:anchorId="0B4E4AB7" wp14:editId="7D26F43E">
            <wp:extent cx="5486400" cy="2232573"/>
            <wp:effectExtent l="0" t="0" r="0" b="3175"/>
            <wp:docPr id="1966498157" name="Picture 3" descr="A map of different colors of the same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98157" name="Picture 3" descr="A map of different colors of the same stat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232573"/>
                    </a:xfrm>
                    <a:prstGeom prst="rect">
                      <a:avLst/>
                    </a:prstGeom>
                  </pic:spPr>
                </pic:pic>
              </a:graphicData>
            </a:graphic>
          </wp:inline>
        </w:drawing>
      </w:r>
    </w:p>
    <w:p w14:paraId="3BCEB414" w14:textId="05C77CD3" w:rsidR="00F21981" w:rsidRPr="0050622D" w:rsidRDefault="00F21981" w:rsidP="00C90640">
      <w:pPr>
        <w:rPr>
          <w:i/>
          <w:iCs/>
          <w:sz w:val="20"/>
          <w:szCs w:val="20"/>
        </w:rPr>
      </w:pPr>
      <w:r w:rsidRPr="471179E9">
        <w:rPr>
          <w:i/>
          <w:iCs/>
          <w:sz w:val="20"/>
          <w:szCs w:val="20"/>
        </w:rPr>
        <w:t xml:space="preserve">Source: </w:t>
      </w:r>
      <w:proofErr w:type="spellStart"/>
      <w:r w:rsidRPr="471179E9">
        <w:rPr>
          <w:i/>
          <w:iCs/>
          <w:sz w:val="20"/>
          <w:szCs w:val="20"/>
        </w:rPr>
        <w:t>Risklayer</w:t>
      </w:r>
      <w:proofErr w:type="spellEnd"/>
      <w:r w:rsidRPr="471179E9">
        <w:rPr>
          <w:i/>
          <w:iCs/>
          <w:sz w:val="20"/>
          <w:szCs w:val="20"/>
        </w:rPr>
        <w:t xml:space="preserve"> GmbH</w:t>
      </w:r>
    </w:p>
    <w:p w14:paraId="03DF4786" w14:textId="77777777" w:rsidR="00F21981" w:rsidRPr="0050622D" w:rsidRDefault="00F21981" w:rsidP="00F21981">
      <w:pPr>
        <w:spacing w:line="278" w:lineRule="auto"/>
      </w:pPr>
      <w:bookmarkStart w:id="1" w:name="_Hlk182472834"/>
      <w:r>
        <w:t xml:space="preserve">Climate change impacts were also investigated in terms of increased precipitation, drought and heatwave. Figure 1b depicts Heatwave as a climate change risk for Los Angeles. The furthest left image represents the 30-year </w:t>
      </w:r>
      <w:r>
        <w:lastRenderedPageBreak/>
        <w:t xml:space="preserve">average historic baseline for heatwaves, while the </w:t>
      </w:r>
      <w:bookmarkStart w:id="2" w:name="_Int_adtWvNkD"/>
      <w:proofErr w:type="gramStart"/>
      <w:r>
        <w:t>images</w:t>
      </w:r>
      <w:bookmarkEnd w:id="2"/>
      <w:proofErr w:type="gramEnd"/>
      <w:r>
        <w:t xml:space="preserve"> to the right show increases in the heatwave index value for the years 2030, 2050 and 2070 based on an intermediate emissions scenario (SSP370: "A Rocky Road"). The areas in dark red indicate a relative increase in the heatwave index. </w:t>
      </w:r>
    </w:p>
    <w:p w14:paraId="0FDBE350" w14:textId="228661A9" w:rsidR="009B6454" w:rsidRDefault="00F21981" w:rsidP="00F21981">
      <w:pPr>
        <w:spacing w:line="278" w:lineRule="auto"/>
      </w:pPr>
      <w:r>
        <w:t xml:space="preserve">Other risks included in the analysis are safety and security factors such as COVID-19 vaccination rates, overall safety, personal security index, average annual healthcare spending, family friendliness, women's well-being and homelessness. Economic risks were also assessed, including economic stability, workforce availability (unemployment rate), housing affordability and housing displacement risk. </w:t>
      </w:r>
    </w:p>
    <w:p w14:paraId="27C79482" w14:textId="01AC322F" w:rsidR="00F21981" w:rsidRPr="0050622D" w:rsidRDefault="00F21981" w:rsidP="00F21981">
      <w:pPr>
        <w:spacing w:line="278" w:lineRule="auto"/>
      </w:pPr>
      <w:r>
        <w:t xml:space="preserve">All of these risks will be visualized on the web-based </w:t>
      </w:r>
      <w:hyperlink r:id="rId36">
        <w:r w:rsidRPr="471179E9">
          <w:rPr>
            <w:rStyle w:val="Hyperlink"/>
          </w:rPr>
          <w:t>California Tourism Resilience &amp; Sustainability Dashboard</w:t>
        </w:r>
      </w:hyperlink>
      <w:r>
        <w:t>, providing a comprehensive view of the vulnerabilities and strengths of the Los Angeles Region.</w:t>
      </w:r>
    </w:p>
    <w:p w14:paraId="2E98F4E0" w14:textId="77777777" w:rsidR="00F21981" w:rsidRPr="0050622D" w:rsidRDefault="00F21981" w:rsidP="00F21981">
      <w:pPr>
        <w:pStyle w:val="Heading3"/>
      </w:pPr>
      <w:r w:rsidRPr="0050622D">
        <w:t>CSF 1 qualitative ratings and findings</w:t>
      </w:r>
    </w:p>
    <w:p w14:paraId="3CF71150" w14:textId="77777777" w:rsidR="00F21981" w:rsidRPr="0050622D" w:rsidRDefault="00F21981" w:rsidP="00F21981">
      <w:r w:rsidRPr="0050622D">
        <w:t>Qualitatively, the panelists were asked to assess the region’s performance across the following CSF 1 performance criteria:</w:t>
      </w:r>
    </w:p>
    <w:p w14:paraId="6D5FFF07" w14:textId="77777777" w:rsidR="00F21981" w:rsidRPr="0050622D" w:rsidRDefault="00F21981" w:rsidP="00F21981">
      <w:pPr>
        <w:pStyle w:val="Heading4"/>
      </w:pPr>
      <w:r>
        <w:t xml:space="preserve">Risk perception </w:t>
      </w:r>
    </w:p>
    <w:p w14:paraId="16C7AF00" w14:textId="77777777" w:rsidR="00F21981" w:rsidRPr="0050622D" w:rsidRDefault="00F21981" w:rsidP="00F21981">
      <w:pPr>
        <w:pStyle w:val="ListParagraph"/>
        <w:ind w:left="360"/>
        <w:rPr>
          <w:rFonts w:eastAsia="Calibri" w:cs="Calibri Light"/>
        </w:rPr>
      </w:pPr>
      <w:r w:rsidRPr="0050622D">
        <w:rPr>
          <w:rFonts w:eastAsia="Calibri" w:cs="Calibri Light"/>
        </w:rPr>
        <w:t xml:space="preserve">Gauges the panelists’ awareness of 11 types of risks affecting tourism, including natural disasters, climate change, water scarcity, air quality, economic factors, public health concerns and technological disruptions. </w:t>
      </w:r>
    </w:p>
    <w:p w14:paraId="0591456E" w14:textId="77777777" w:rsidR="00F21981" w:rsidRPr="0050622D" w:rsidRDefault="00F21981" w:rsidP="00F21981">
      <w:pPr>
        <w:pStyle w:val="Heading4"/>
      </w:pPr>
      <w:r w:rsidRPr="0050622D">
        <w:t xml:space="preserve">Understanding tourism impacts </w:t>
      </w:r>
    </w:p>
    <w:p w14:paraId="312149CE" w14:textId="77777777" w:rsidR="00F21981" w:rsidRPr="0050622D" w:rsidRDefault="00F21981" w:rsidP="00F21981">
      <w:pPr>
        <w:pStyle w:val="ListParagraph"/>
        <w:ind w:left="360"/>
        <w:rPr>
          <w:rFonts w:eastAsia="Calibri" w:cs="Calibri Light"/>
        </w:rPr>
      </w:pPr>
      <w:r w:rsidRPr="471179E9">
        <w:rPr>
          <w:rFonts w:eastAsia="Calibri" w:cs="Calibri Light"/>
        </w:rPr>
        <w:t>Considers t</w:t>
      </w:r>
      <w:r>
        <w:t>he extent to which tourism stakeholders understand the impacts of natural disasters, climate change, environmental and ecological issues, public health crises, social, technological, political issues and economic uncertainty.</w:t>
      </w:r>
    </w:p>
    <w:p w14:paraId="65192A31" w14:textId="77777777" w:rsidR="00F21981" w:rsidRPr="0050622D" w:rsidRDefault="00F21981" w:rsidP="00F21981">
      <w:pPr>
        <w:pStyle w:val="Heading4"/>
      </w:pPr>
      <w:r w:rsidRPr="0050622D">
        <w:t xml:space="preserve"> Risk information sharing</w:t>
      </w:r>
    </w:p>
    <w:p w14:paraId="11748926" w14:textId="77777777" w:rsidR="00F21981" w:rsidRPr="0050622D" w:rsidRDefault="00F21981" w:rsidP="00F21981">
      <w:pPr>
        <w:pStyle w:val="ListParagraph"/>
        <w:ind w:left="360"/>
        <w:rPr>
          <w:rFonts w:eastAsia="Calibri" w:cs="Calibri Light"/>
        </w:rPr>
      </w:pPr>
      <w:r w:rsidRPr="0050622D">
        <w:rPr>
          <w:rFonts w:eastAsia="Calibri" w:cs="Calibri Light"/>
        </w:rPr>
        <w:t>Analyzes t</w:t>
      </w:r>
      <w:r w:rsidRPr="0050622D">
        <w:t>he degree to which risk-related information (e.g., data, maps, studies) on tourism assets and destinations is communicated effectively to tourism stakeholders and policymakers to support informed decision-making.</w:t>
      </w:r>
    </w:p>
    <w:p w14:paraId="3EBE2722" w14:textId="77777777" w:rsidR="00F21981" w:rsidRPr="0050622D" w:rsidRDefault="00F21981" w:rsidP="00F21981">
      <w:pPr>
        <w:pStyle w:val="Heading4"/>
        <w:rPr>
          <w:rFonts w:eastAsia="Calibri" w:cs="Calibri Light"/>
        </w:rPr>
      </w:pPr>
      <w:r w:rsidRPr="0050622D">
        <w:t>Data sharing effectiveness</w:t>
      </w:r>
    </w:p>
    <w:p w14:paraId="1FF02343" w14:textId="77777777" w:rsidR="00F21981" w:rsidRPr="0050622D" w:rsidRDefault="00F21981" w:rsidP="00F21981">
      <w:pPr>
        <w:pStyle w:val="ListParagraph"/>
        <w:ind w:left="360"/>
      </w:pPr>
      <w:r w:rsidRPr="0050622D">
        <w:t xml:space="preserve">Examines the effectiveness of existing mechanisms for sharing risk data with tourism stakeholders and policymakers to inform them about key risks and prevention strategies. </w:t>
      </w:r>
      <w:bookmarkEnd w:id="1"/>
    </w:p>
    <w:p w14:paraId="5A8587FF" w14:textId="72460D7F" w:rsidR="00F21981" w:rsidRPr="0050622D" w:rsidRDefault="00F21981" w:rsidP="00F21981">
      <w:r>
        <w:t xml:space="preserve">Panelists rated the individual performance criteria for CSF 1 at a relatively consistent level of 1.5 to 3 of 5, pointing out that the tourism stakeholders and industry within the region have a basic awareness of the importance of proactive mitigation of risks and that the data sharing practice between tourism and emergency planning entities is sporadic and at the very early stages. The four individual </w:t>
      </w:r>
      <w:r w:rsidR="491D114B">
        <w:t>performance criteria</w:t>
      </w:r>
      <w:r>
        <w:t xml:space="preserve"> and the subsequent findings are shown in Table 1 below:</w:t>
      </w:r>
    </w:p>
    <w:p w14:paraId="2BCF068F" w14:textId="77777777" w:rsidR="009B6454" w:rsidRDefault="009B6454" w:rsidP="00F21981">
      <w:pPr>
        <w:rPr>
          <w:b/>
          <w:bCs/>
          <w:i/>
          <w:iCs/>
        </w:rPr>
      </w:pPr>
    </w:p>
    <w:p w14:paraId="5FEAE176" w14:textId="77777777" w:rsidR="009B6454" w:rsidRDefault="009B6454" w:rsidP="00F21981">
      <w:pPr>
        <w:rPr>
          <w:b/>
          <w:bCs/>
          <w:i/>
          <w:iCs/>
        </w:rPr>
      </w:pPr>
    </w:p>
    <w:p w14:paraId="1638C86F" w14:textId="77777777" w:rsidR="009B6454" w:rsidRDefault="009B6454" w:rsidP="00F21981">
      <w:pPr>
        <w:rPr>
          <w:b/>
          <w:bCs/>
          <w:i/>
          <w:iCs/>
        </w:rPr>
      </w:pPr>
    </w:p>
    <w:p w14:paraId="3623DFA6" w14:textId="77777777" w:rsidR="009B6454" w:rsidRDefault="009B6454" w:rsidP="00F21981">
      <w:pPr>
        <w:rPr>
          <w:b/>
          <w:bCs/>
          <w:i/>
          <w:iCs/>
        </w:rPr>
      </w:pPr>
    </w:p>
    <w:p w14:paraId="4FBF267D" w14:textId="0D75C94A" w:rsidR="00F21981" w:rsidRPr="0050622D" w:rsidRDefault="00F21981" w:rsidP="00F21981">
      <w:pPr>
        <w:rPr>
          <w:b/>
          <w:bCs/>
          <w:i/>
          <w:iCs/>
        </w:rPr>
      </w:pPr>
      <w:r w:rsidRPr="0050622D">
        <w:rPr>
          <w:b/>
          <w:bCs/>
          <w:i/>
          <w:iCs/>
        </w:rPr>
        <w:lastRenderedPageBreak/>
        <w:t>Table 1. CSF 1 qualitative performance criteria ratings</w:t>
      </w:r>
    </w:p>
    <w:tbl>
      <w:tblPr>
        <w:tblW w:w="10060" w:type="dxa"/>
        <w:tblCellMar>
          <w:left w:w="0" w:type="dxa"/>
          <w:right w:w="0" w:type="dxa"/>
        </w:tblCellMar>
        <w:tblLook w:val="0420" w:firstRow="1" w:lastRow="0" w:firstColumn="0" w:lastColumn="0" w:noHBand="0" w:noVBand="1"/>
      </w:tblPr>
      <w:tblGrid>
        <w:gridCol w:w="1485"/>
        <w:gridCol w:w="1294"/>
        <w:gridCol w:w="7281"/>
      </w:tblGrid>
      <w:tr w:rsidR="00F21981" w:rsidRPr="0050622D" w14:paraId="0A037E8C" w14:textId="77777777" w:rsidTr="18E55A4C">
        <w:trPr>
          <w:trHeight w:val="753"/>
        </w:trPr>
        <w:tc>
          <w:tcPr>
            <w:tcW w:w="148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33475FA" w14:textId="77777777" w:rsidR="00F21981" w:rsidRPr="00C90640" w:rsidRDefault="00F21981" w:rsidP="00353979">
            <w:pPr>
              <w:jc w:val="center"/>
              <w:rPr>
                <w:b/>
                <w:bCs/>
                <w:color w:val="FFFFFF" w:themeColor="background1"/>
                <w:lang w:val="en-CA"/>
              </w:rPr>
            </w:pPr>
            <w:r w:rsidRPr="00C90640">
              <w:rPr>
                <w:b/>
                <w:bCs/>
                <w:color w:val="FFFFFF" w:themeColor="background1"/>
              </w:rPr>
              <w:t>Performance criteria</w:t>
            </w:r>
          </w:p>
        </w:tc>
        <w:tc>
          <w:tcPr>
            <w:tcW w:w="129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3E9EFF97" w14:textId="77777777" w:rsidR="00F21981" w:rsidRPr="00C90640" w:rsidRDefault="00F21981" w:rsidP="00353979">
            <w:pPr>
              <w:jc w:val="center"/>
              <w:rPr>
                <w:b/>
                <w:bCs/>
                <w:color w:val="FFFFFF" w:themeColor="background1"/>
                <w:lang w:val="en-CA"/>
              </w:rPr>
            </w:pPr>
            <w:r w:rsidRPr="00C90640">
              <w:rPr>
                <w:b/>
                <w:bCs/>
                <w:color w:val="FFFFFF" w:themeColor="background1"/>
              </w:rPr>
              <w:t>Rating</w:t>
            </w:r>
          </w:p>
        </w:tc>
        <w:tc>
          <w:tcPr>
            <w:tcW w:w="728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4C022C9" w14:textId="77777777" w:rsidR="00F21981" w:rsidRPr="00C90640" w:rsidRDefault="00F21981" w:rsidP="00353979">
            <w:pPr>
              <w:jc w:val="center"/>
              <w:rPr>
                <w:b/>
                <w:bCs/>
                <w:color w:val="FFFFFF" w:themeColor="background1"/>
                <w:lang w:val="en-CA"/>
              </w:rPr>
            </w:pPr>
            <w:r w:rsidRPr="00C90640">
              <w:rPr>
                <w:b/>
                <w:bCs/>
                <w:color w:val="FFFFFF" w:themeColor="background1"/>
              </w:rPr>
              <w:t>Findings</w:t>
            </w:r>
          </w:p>
        </w:tc>
      </w:tr>
      <w:tr w:rsidR="00F21981" w:rsidRPr="0050622D" w14:paraId="2BC490D7" w14:textId="77777777" w:rsidTr="00C90640">
        <w:trPr>
          <w:trHeight w:val="831"/>
        </w:trPr>
        <w:tc>
          <w:tcPr>
            <w:tcW w:w="148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31A6859" w14:textId="77777777" w:rsidR="00F21981" w:rsidRPr="0050622D" w:rsidRDefault="00F21981" w:rsidP="00353979">
            <w:pPr>
              <w:jc w:val="center"/>
              <w:rPr>
                <w:b/>
                <w:bCs/>
                <w:lang w:val="en-CA"/>
              </w:rPr>
            </w:pPr>
            <w:r w:rsidRPr="0050622D">
              <w:rPr>
                <w:rFonts w:cs="Arial"/>
                <w:b/>
                <w:bCs/>
                <w:color w:val="000000"/>
                <w:kern w:val="24"/>
              </w:rPr>
              <w:t>Risk perception</w:t>
            </w:r>
          </w:p>
        </w:tc>
        <w:tc>
          <w:tcPr>
            <w:tcW w:w="129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6721ED9B" w14:textId="77777777" w:rsidR="00F21981" w:rsidRPr="0050622D" w:rsidRDefault="00F21981" w:rsidP="00353979">
            <w:pPr>
              <w:jc w:val="center"/>
              <w:rPr>
                <w:lang w:val="en-CA"/>
              </w:rPr>
            </w:pPr>
            <w:r w:rsidRPr="0050622D">
              <w:rPr>
                <w:lang w:val="en-CA"/>
              </w:rPr>
              <w:t>1.9</w:t>
            </w:r>
          </w:p>
        </w:tc>
        <w:tc>
          <w:tcPr>
            <w:tcW w:w="728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1BA533E5" w14:textId="4AF9C5DD" w:rsidR="00F21981" w:rsidRPr="0050622D" w:rsidRDefault="009B6454" w:rsidP="00353979">
            <w:r>
              <w:t xml:space="preserve">Panelists’ </w:t>
            </w:r>
            <w:r w:rsidR="00F21981">
              <w:t xml:space="preserve">perception of risk in the region is highest for natural disasters. </w:t>
            </w:r>
            <w:r>
              <w:t>S</w:t>
            </w:r>
            <w:r w:rsidR="00F21981">
              <w:t xml:space="preserve">afety and public health concerns follow closely as the next highest perceived threats. </w:t>
            </w:r>
            <w:r>
              <w:t>G</w:t>
            </w:r>
            <w:r w:rsidR="00F21981">
              <w:t>eopolitical and security issues are perceived as the lowest risks.</w:t>
            </w:r>
          </w:p>
        </w:tc>
      </w:tr>
      <w:tr w:rsidR="00F21981" w:rsidRPr="0050622D" w14:paraId="0C362EC4" w14:textId="77777777" w:rsidTr="18E55A4C">
        <w:trPr>
          <w:trHeight w:val="1296"/>
        </w:trPr>
        <w:tc>
          <w:tcPr>
            <w:tcW w:w="1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2EF547DF" w14:textId="77777777" w:rsidR="00F21981" w:rsidRPr="0050622D" w:rsidRDefault="00F21981" w:rsidP="00353979">
            <w:pPr>
              <w:jc w:val="center"/>
              <w:rPr>
                <w:b/>
                <w:bCs/>
                <w:lang w:val="en-CA"/>
              </w:rPr>
            </w:pPr>
            <w:r w:rsidRPr="0050622D">
              <w:rPr>
                <w:rFonts w:cs="Arial"/>
                <w:b/>
                <w:bCs/>
                <w:color w:val="000000"/>
                <w:kern w:val="24"/>
              </w:rPr>
              <w:t>Understanding tourism impacts</w:t>
            </w:r>
          </w:p>
        </w:tc>
        <w:tc>
          <w:tcPr>
            <w:tcW w:w="12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12D2FF98" w14:textId="77777777" w:rsidR="00F21981" w:rsidRPr="0050622D" w:rsidRDefault="00F21981" w:rsidP="00353979">
            <w:pPr>
              <w:jc w:val="center"/>
              <w:rPr>
                <w:lang w:val="en-CA"/>
              </w:rPr>
            </w:pPr>
            <w:r w:rsidRPr="0050622D">
              <w:rPr>
                <w:lang w:val="en-CA"/>
              </w:rPr>
              <w:t>1.5</w:t>
            </w:r>
          </w:p>
        </w:tc>
        <w:tc>
          <w:tcPr>
            <w:tcW w:w="7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43A42BEE" w14:textId="5D77DBA7" w:rsidR="00F21981" w:rsidRPr="0050622D" w:rsidRDefault="00662187" w:rsidP="00353979">
            <w:r>
              <w:t xml:space="preserve">According to the panelists, tourism </w:t>
            </w:r>
            <w:r w:rsidR="00F21981">
              <w:t>stakeholders have the highest understanding of economic uncertainty</w:t>
            </w:r>
            <w:r>
              <w:t>; t</w:t>
            </w:r>
            <w:r w:rsidR="00F21981">
              <w:t xml:space="preserve">heir comprehension of natural disasters is also high. However, climate change and environmental impacts are only moderately understood, </w:t>
            </w:r>
            <w:r>
              <w:t>according to the panelists</w:t>
            </w:r>
            <w:r w:rsidR="00F21981">
              <w:t>.</w:t>
            </w:r>
          </w:p>
        </w:tc>
      </w:tr>
      <w:tr w:rsidR="00F21981" w:rsidRPr="0050622D" w14:paraId="1EFBD305" w14:textId="77777777" w:rsidTr="00C90640">
        <w:trPr>
          <w:trHeight w:val="511"/>
        </w:trPr>
        <w:tc>
          <w:tcPr>
            <w:tcW w:w="1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15ACDEDC" w14:textId="77777777" w:rsidR="00F21981" w:rsidRPr="0050622D" w:rsidRDefault="00F21981" w:rsidP="00353979">
            <w:pPr>
              <w:jc w:val="center"/>
              <w:rPr>
                <w:b/>
                <w:bCs/>
                <w:lang w:val="en-CA"/>
              </w:rPr>
            </w:pPr>
            <w:r w:rsidRPr="0050622D">
              <w:rPr>
                <w:rFonts w:cs="Arial"/>
                <w:b/>
                <w:bCs/>
                <w:color w:val="000000"/>
                <w:kern w:val="24"/>
              </w:rPr>
              <w:t>Risk information sharing</w:t>
            </w:r>
          </w:p>
        </w:tc>
        <w:tc>
          <w:tcPr>
            <w:tcW w:w="12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3EE669B" w14:textId="77777777" w:rsidR="00F21981" w:rsidRPr="0050622D" w:rsidRDefault="00F21981" w:rsidP="00353979">
            <w:pPr>
              <w:jc w:val="center"/>
              <w:rPr>
                <w:lang w:val="en-CA"/>
              </w:rPr>
            </w:pPr>
            <w:r w:rsidRPr="0050622D">
              <w:rPr>
                <w:lang w:val="en-CA"/>
              </w:rPr>
              <w:t>3</w:t>
            </w:r>
          </w:p>
        </w:tc>
        <w:tc>
          <w:tcPr>
            <w:tcW w:w="7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0BE30321" w14:textId="37E22E3B" w:rsidR="00F21981" w:rsidRPr="0050622D" w:rsidRDefault="0083D10E" w:rsidP="00353979">
            <w:r>
              <w:t>Most</w:t>
            </w:r>
            <w:r w:rsidR="00F21981">
              <w:t xml:space="preserve"> panelists </w:t>
            </w:r>
            <w:r w:rsidR="00662187">
              <w:t>note</w:t>
            </w:r>
            <w:r w:rsidR="00F21981">
              <w:t xml:space="preserve"> that ongoing data sharing and some collaboration exist, but there is significant room for improvement</w:t>
            </w:r>
            <w:r w:rsidR="00887F44">
              <w:t xml:space="preserve"> in</w:t>
            </w:r>
            <w:r w:rsidR="00F21981">
              <w:t xml:space="preserve"> </w:t>
            </w:r>
            <w:r w:rsidR="00887F44">
              <w:t xml:space="preserve">providing </w:t>
            </w:r>
            <w:r w:rsidR="00F21981">
              <w:t xml:space="preserve">access to risk information for tourism </w:t>
            </w:r>
            <w:r w:rsidR="00887F44">
              <w:t>stakeholders.</w:t>
            </w:r>
          </w:p>
        </w:tc>
      </w:tr>
      <w:tr w:rsidR="00F21981" w:rsidRPr="0050622D" w14:paraId="722A46EA" w14:textId="77777777" w:rsidTr="00C90640">
        <w:trPr>
          <w:trHeight w:val="556"/>
        </w:trPr>
        <w:tc>
          <w:tcPr>
            <w:tcW w:w="1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3DDB2BFA" w14:textId="77777777" w:rsidR="00F21981" w:rsidRPr="0050622D" w:rsidRDefault="00F21981" w:rsidP="00353979">
            <w:pPr>
              <w:jc w:val="center"/>
              <w:rPr>
                <w:b/>
                <w:bCs/>
                <w:lang w:val="en-CA"/>
              </w:rPr>
            </w:pPr>
            <w:r w:rsidRPr="0050622D">
              <w:rPr>
                <w:rFonts w:cs="Arial"/>
                <w:b/>
                <w:bCs/>
                <w:color w:val="000000"/>
                <w:kern w:val="24"/>
              </w:rPr>
              <w:t>Data sharing effectiveness</w:t>
            </w:r>
          </w:p>
        </w:tc>
        <w:tc>
          <w:tcPr>
            <w:tcW w:w="12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1C32E266" w14:textId="77777777" w:rsidR="00F21981" w:rsidRPr="0050622D" w:rsidRDefault="00F21981" w:rsidP="00353979">
            <w:pPr>
              <w:jc w:val="center"/>
              <w:rPr>
                <w:lang w:val="en-CA"/>
              </w:rPr>
            </w:pPr>
            <w:r w:rsidRPr="0050622D">
              <w:rPr>
                <w:lang w:val="en-CA"/>
              </w:rPr>
              <w:t>3</w:t>
            </w:r>
          </w:p>
        </w:tc>
        <w:tc>
          <w:tcPr>
            <w:tcW w:w="7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67242EF4" w14:textId="589CBC2B" w:rsidR="00F21981" w:rsidRPr="0050622D" w:rsidRDefault="00F21981" w:rsidP="00353979">
            <w:r>
              <w:t xml:space="preserve">Panelists mostly rate the current mechanisms for sharing risk data with tourism stakeholders as moderately effective. </w:t>
            </w:r>
          </w:p>
        </w:tc>
      </w:tr>
    </w:tbl>
    <w:p w14:paraId="5AEF7E03" w14:textId="77777777" w:rsidR="00F21981" w:rsidRDefault="00F21981" w:rsidP="00F21981"/>
    <w:p w14:paraId="30C20E6F" w14:textId="415A9901" w:rsidR="00F21981" w:rsidRDefault="00F21981" w:rsidP="18E55A4C">
      <w:pPr>
        <w:jc w:val="center"/>
        <w:rPr>
          <w:rFonts w:eastAsia="Source Sans Pro Light" w:cs="Source Sans Pro Light"/>
          <w:i/>
          <w:iCs/>
          <w:color w:val="000000" w:themeColor="text1"/>
        </w:rPr>
      </w:pPr>
      <w:r>
        <w:rPr>
          <w:noProof/>
        </w:rPr>
        <mc:AlternateContent>
          <mc:Choice Requires="wps">
            <w:drawing>
              <wp:inline distT="0" distB="0" distL="114300" distR="114300" wp14:anchorId="2E8CE5EF" wp14:editId="0F8FA4D3">
                <wp:extent cx="5029200" cy="1682115"/>
                <wp:effectExtent l="19050" t="19050" r="38100" b="38100"/>
                <wp:docPr id="671783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82115"/>
                        </a:xfrm>
                        <a:prstGeom prst="rect">
                          <a:avLst/>
                        </a:prstGeom>
                        <a:solidFill>
                          <a:srgbClr val="FFFFFF"/>
                        </a:solidFill>
                        <a:ln w="57150" cmpd="thickThin">
                          <a:solidFill>
                            <a:srgbClr val="000000"/>
                          </a:solidFill>
                          <a:miter lim="800000"/>
                          <a:headEnd/>
                          <a:tailEnd/>
                        </a:ln>
                      </wps:spPr>
                      <wps:txbx>
                        <w:txbxContent>
                          <w:p w14:paraId="6DC606B8" w14:textId="77777777" w:rsidR="00F21981" w:rsidRPr="004B54EF" w:rsidRDefault="00F21981" w:rsidP="00F21981">
                            <w:pPr>
                              <w:spacing w:before="160"/>
                              <w:jc w:val="center"/>
                            </w:pPr>
                            <w:r w:rsidRPr="004B54EF">
                              <w:t>“Tourism stakeholders are more aware of economic and public health risks (especially after the COVID-19) while other environmental/sustainability risks are still being analyzed."</w:t>
                            </w:r>
                          </w:p>
                          <w:p w14:paraId="58B25BB2" w14:textId="77777777" w:rsidR="00F21981" w:rsidRPr="004B54EF" w:rsidRDefault="00F21981" w:rsidP="00F21981">
                            <w:pPr>
                              <w:spacing w:before="160"/>
                              <w:jc w:val="center"/>
                            </w:pPr>
                            <w:r w:rsidRPr="004B54EF">
                              <w:t>"No in-house place to find data. Everyone is on their own as to how they implement sustainability."</w:t>
                            </w:r>
                          </w:p>
                        </w:txbxContent>
                      </wps:txbx>
                      <wps:bodyPr rot="0" vert="horz" wrap="square" lIns="91440" tIns="45720" rIns="91440" bIns="45720" anchor="t" anchorCtr="0">
                        <a:spAutoFit/>
                      </wps:bodyPr>
                    </wps:wsp>
                  </a:graphicData>
                </a:graphic>
              </wp:inline>
            </w:drawing>
          </mc:Choice>
          <mc:Fallback>
            <w:pict>
              <v:shapetype w14:anchorId="2E8CE5EF" id="_x0000_t202" coordsize="21600,21600" o:spt="202" path="m,l,21600r21600,l21600,xe">
                <v:stroke joinstyle="miter"/>
                <v:path gradientshapeok="t" o:connecttype="rect"/>
              </v:shapetype>
              <v:shape id="Text Box 2" o:spid="_x0000_s1027" type="#_x0000_t202" style="width:396pt;height:1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" strokeweight="4.5pt">
                <v:stroke linestyle="thickThin"/>
                <v:textbox style="mso-fit-shape-to-text:t">
                  <w:txbxContent>
                    <w:p w14:paraId="6DC606B8" w14:textId="77777777" w:rsidR="00F21981" w:rsidRPr="004B54EF" w:rsidRDefault="00F21981" w:rsidP="00F21981">
                      <w:pPr>
                        <w:spacing w:before="160"/>
                        <w:jc w:val="center"/>
                      </w:pPr>
                      <w:r w:rsidRPr="004B54EF">
                        <w:t>“Tourism stakeholders are more aware of economic and public health risks (especially after the COVID-19) while other environmental/sustainability risks are still being analyzed."</w:t>
                      </w:r>
                    </w:p>
                    <w:p w14:paraId="58B25BB2" w14:textId="77777777" w:rsidR="00F21981" w:rsidRPr="004B54EF" w:rsidRDefault="00F21981" w:rsidP="00F21981">
                      <w:pPr>
                        <w:spacing w:before="160"/>
                        <w:jc w:val="center"/>
                      </w:pPr>
                      <w:r w:rsidRPr="004B54EF">
                        <w:t>"No in-house place to find data. Everyone is on their own as to how they implement sustainability."</w:t>
                      </w:r>
                    </w:p>
                  </w:txbxContent>
                </v:textbox>
                <w10:anchorlock/>
              </v:shape>
            </w:pict>
          </mc:Fallback>
        </mc:AlternateContent>
      </w:r>
    </w:p>
    <w:p w14:paraId="1FB08DE5" w14:textId="77777777" w:rsidR="00F21981" w:rsidRDefault="00F21981" w:rsidP="00F21981">
      <w:pPr>
        <w:rPr>
          <w:rFonts w:eastAsia="Source Sans Pro Light" w:cs="Source Sans Pro Light"/>
          <w:i/>
          <w:iCs/>
          <w:color w:val="000000" w:themeColor="text1"/>
        </w:rPr>
      </w:pPr>
    </w:p>
    <w:p w14:paraId="53404E4D" w14:textId="77777777" w:rsidR="00F21981" w:rsidRDefault="00F21981" w:rsidP="00F21981">
      <w:pPr>
        <w:rPr>
          <w:rFonts w:eastAsia="Source Sans Pro Light" w:cs="Source Sans Pro Light"/>
          <w:color w:val="000000" w:themeColor="text1"/>
        </w:rPr>
      </w:pPr>
    </w:p>
    <w:p w14:paraId="6508BE15" w14:textId="77777777" w:rsidR="00F21981" w:rsidRDefault="00F21981" w:rsidP="00F21981">
      <w:pPr>
        <w:rPr>
          <w:rFonts w:eastAsia="Source Sans Pro Light" w:cs="Source Sans Pro Light"/>
          <w:color w:val="000000" w:themeColor="text1"/>
        </w:rPr>
      </w:pPr>
    </w:p>
    <w:p w14:paraId="1B710ADE" w14:textId="77777777" w:rsidR="00F21981" w:rsidRDefault="00F21981" w:rsidP="00F21981">
      <w:pPr>
        <w:rPr>
          <w:rFonts w:eastAsia="Source Sans Pro Light" w:cs="Source Sans Pro Light"/>
          <w:color w:val="000000" w:themeColor="text1"/>
        </w:rPr>
      </w:pPr>
    </w:p>
    <w:p w14:paraId="5ABA94F4" w14:textId="77777777" w:rsidR="00F21981" w:rsidRDefault="00F21981" w:rsidP="00F21981">
      <w:pPr>
        <w:rPr>
          <w:rFonts w:eastAsia="Source Sans Pro Light" w:cs="Source Sans Pro Light"/>
          <w:color w:val="000000" w:themeColor="text1"/>
        </w:rPr>
      </w:pPr>
    </w:p>
    <w:p w14:paraId="42F13838" w14:textId="77777777" w:rsidR="00F21981" w:rsidRDefault="00F21981" w:rsidP="00F21981">
      <w:pPr>
        <w:rPr>
          <w:rFonts w:eastAsia="Source Sans Pro Light" w:cs="Source Sans Pro Light"/>
          <w:color w:val="000000" w:themeColor="text1"/>
        </w:rPr>
      </w:pPr>
    </w:p>
    <w:p w14:paraId="297D8E15" w14:textId="417D5311" w:rsidR="004659A0" w:rsidRDefault="004659A0" w:rsidP="177858A2">
      <w:pPr>
        <w:jc w:val="center"/>
        <w:sectPr w:rsidR="004659A0" w:rsidSect="00820ED4">
          <w:headerReference w:type="first" r:id="rId37"/>
          <w:footerReference w:type="first" r:id="rId38"/>
          <w:pgSz w:w="12240" w:h="15840"/>
          <w:pgMar w:top="1440" w:right="1080" w:bottom="1440" w:left="1080" w:header="720" w:footer="720" w:gutter="0"/>
          <w:cols w:space="720"/>
          <w:docGrid w:linePitch="360"/>
        </w:sectPr>
      </w:pPr>
    </w:p>
    <w:p w14:paraId="4994F199" w14:textId="7759F2F0" w:rsidR="007D24DE" w:rsidRPr="002E45A9" w:rsidRDefault="00820ED4" w:rsidP="002057E6">
      <w:pPr>
        <w:pStyle w:val="Heading1"/>
      </w:pPr>
      <w:r>
        <w:lastRenderedPageBreak/>
        <w:t xml:space="preserve">CSF 2 </w:t>
      </w:r>
      <w:r w:rsidR="00142485">
        <w:t xml:space="preserve">— </w:t>
      </w:r>
      <w:r>
        <w:t xml:space="preserve">Managing </w:t>
      </w:r>
      <w:r w:rsidR="00F639C1">
        <w:t>R</w:t>
      </w:r>
      <w:r w:rsidR="00590197">
        <w:t>esilience</w:t>
      </w:r>
      <w:r w:rsidR="00142485">
        <w:t xml:space="preserve"> </w:t>
      </w:r>
    </w:p>
    <w:p w14:paraId="0D613C40" w14:textId="696C007E" w:rsidR="4BDEF3D1" w:rsidRDefault="62CE7BD6">
      <w:r>
        <w:t xml:space="preserve">This CSF </w:t>
      </w:r>
      <w:r w:rsidR="00D25C8E">
        <w:t xml:space="preserve">reviews existing </w:t>
      </w:r>
      <w:r w:rsidR="000A10A1">
        <w:t xml:space="preserve">local </w:t>
      </w:r>
      <w:r w:rsidR="00D25C8E">
        <w:t xml:space="preserve">plans and strategies </w:t>
      </w:r>
      <w:r w:rsidR="00196CC1">
        <w:t xml:space="preserve">that have </w:t>
      </w:r>
      <w:r w:rsidR="00741F05">
        <w:t>been adopted to mitigate adverse impacts from and adapt to climate change-related disasters</w:t>
      </w:r>
      <w:r w:rsidR="000E3A91">
        <w:t>, as well a</w:t>
      </w:r>
      <w:r w:rsidR="00342905">
        <w:t>s manage risk from other natural disasters</w:t>
      </w:r>
      <w:r>
        <w:t xml:space="preserve"> </w:t>
      </w:r>
    </w:p>
    <w:p w14:paraId="46E21B1D" w14:textId="1AD18AD5" w:rsidR="7D152207" w:rsidRDefault="7D152207" w:rsidP="57D7F1AB">
      <w:pPr>
        <w:pStyle w:val="Heading3"/>
        <w:rPr>
          <w:lang w:val="en-CA" w:eastAsia="en-CA"/>
        </w:rPr>
      </w:pPr>
      <w:r>
        <w:t>CSF 2 key findings</w:t>
      </w:r>
    </w:p>
    <w:p w14:paraId="605ACB11" w14:textId="66808861" w:rsidR="00B20535" w:rsidRPr="00C90640" w:rsidRDefault="002B490B" w:rsidP="4716293C">
      <w:pPr>
        <w:spacing w:before="240" w:after="240"/>
        <w:rPr>
          <w:lang w:val="en-CA" w:eastAsia="en-CA"/>
        </w:rPr>
      </w:pPr>
      <w:r>
        <w:rPr>
          <w:lang w:val="en-CA" w:eastAsia="en-CA"/>
        </w:rPr>
        <w:t xml:space="preserve">With a composite score of 70 out of 100, </w:t>
      </w:r>
      <w:r w:rsidRPr="69792129">
        <w:rPr>
          <w:lang w:val="en-CA" w:eastAsia="en-CA"/>
        </w:rPr>
        <w:t>CSF 2 outcomes on managing destination resilience reveal that some cities and counties in the region have adopted disaster risk and climate plans but there remains significant room for improvement. These results are based on quantitative analysis of city and county-level planning data, which reflect public sector efforts to address climate-related hazards. The highest score is for disaster risk management plans (</w:t>
      </w:r>
      <w:r w:rsidR="00BA3657">
        <w:rPr>
          <w:lang w:val="en-CA" w:eastAsia="en-CA"/>
        </w:rPr>
        <w:t>84</w:t>
      </w:r>
      <w:r w:rsidRPr="69792129">
        <w:rPr>
          <w:lang w:val="en-CA" w:eastAsia="en-CA"/>
        </w:rPr>
        <w:t xml:space="preserve"> out of 100), indicating that many jurisdictions have taken steps to prepare for potential disasters. Climate </w:t>
      </w:r>
      <w:r w:rsidR="00D24814">
        <w:rPr>
          <w:lang w:val="en-CA" w:eastAsia="en-CA"/>
        </w:rPr>
        <w:t>adaption</w:t>
      </w:r>
      <w:r w:rsidRPr="69792129">
        <w:rPr>
          <w:lang w:val="en-CA" w:eastAsia="en-CA"/>
        </w:rPr>
        <w:t xml:space="preserve"> plans scored slightly lower </w:t>
      </w:r>
      <w:r w:rsidR="009D403D">
        <w:rPr>
          <w:lang w:val="en-CA" w:eastAsia="en-CA"/>
        </w:rPr>
        <w:t>(74</w:t>
      </w:r>
      <w:r w:rsidRPr="69792129">
        <w:rPr>
          <w:lang w:val="en-CA" w:eastAsia="en-CA"/>
        </w:rPr>
        <w:t xml:space="preserve"> out of 100</w:t>
      </w:r>
      <w:r w:rsidR="009D403D">
        <w:rPr>
          <w:lang w:val="en-CA" w:eastAsia="en-CA"/>
        </w:rPr>
        <w:t>)</w:t>
      </w:r>
      <w:r w:rsidRPr="69792129">
        <w:rPr>
          <w:lang w:val="en-CA" w:eastAsia="en-CA"/>
        </w:rPr>
        <w:t xml:space="preserve">, suggesting progress </w:t>
      </w:r>
      <w:r w:rsidR="009D403D" w:rsidRPr="69792129">
        <w:rPr>
          <w:lang w:val="en-CA" w:eastAsia="en-CA"/>
        </w:rPr>
        <w:t xml:space="preserve">in </w:t>
      </w:r>
      <w:r w:rsidR="009D403D">
        <w:rPr>
          <w:lang w:val="en-CA" w:eastAsia="en-CA"/>
        </w:rPr>
        <w:t xml:space="preserve">preparing </w:t>
      </w:r>
      <w:r w:rsidR="009D403D" w:rsidRPr="69792129">
        <w:rPr>
          <w:lang w:val="en-CA" w:eastAsia="en-CA"/>
        </w:rPr>
        <w:t>comprehensive strategies to adjust to long-term climate impacts</w:t>
      </w:r>
      <w:r w:rsidRPr="69792129">
        <w:rPr>
          <w:lang w:val="en-CA" w:eastAsia="en-CA"/>
        </w:rPr>
        <w:t>. The lowest score</w:t>
      </w:r>
      <w:r w:rsidR="009D403D">
        <w:rPr>
          <w:lang w:val="en-CA" w:eastAsia="en-CA"/>
        </w:rPr>
        <w:t xml:space="preserve"> (54</w:t>
      </w:r>
      <w:r w:rsidRPr="69792129">
        <w:rPr>
          <w:lang w:val="en-CA" w:eastAsia="en-CA"/>
        </w:rPr>
        <w:t xml:space="preserve"> out of 100</w:t>
      </w:r>
      <w:r w:rsidR="009D403D">
        <w:rPr>
          <w:lang w:val="en-CA" w:eastAsia="en-CA"/>
        </w:rPr>
        <w:t>) is</w:t>
      </w:r>
      <w:r w:rsidRPr="69792129">
        <w:rPr>
          <w:lang w:val="en-CA" w:eastAsia="en-CA"/>
        </w:rPr>
        <w:t xml:space="preserve"> for climate </w:t>
      </w:r>
      <w:r w:rsidR="009D403D">
        <w:rPr>
          <w:lang w:val="en-CA" w:eastAsia="en-CA"/>
        </w:rPr>
        <w:t>mitigation</w:t>
      </w:r>
      <w:r w:rsidRPr="69792129">
        <w:rPr>
          <w:lang w:val="en-CA" w:eastAsia="en-CA"/>
        </w:rPr>
        <w:t xml:space="preserve">, </w:t>
      </w:r>
      <w:r w:rsidR="009D403D">
        <w:rPr>
          <w:lang w:val="en-CA" w:eastAsia="en-CA"/>
        </w:rPr>
        <w:t xml:space="preserve">is still above average but </w:t>
      </w:r>
      <w:r w:rsidRPr="69792129">
        <w:rPr>
          <w:lang w:val="en-CA" w:eastAsia="en-CA"/>
        </w:rPr>
        <w:t xml:space="preserve">highlights </w:t>
      </w:r>
      <w:r w:rsidR="009D403D">
        <w:rPr>
          <w:lang w:val="en-CA" w:eastAsia="en-CA"/>
        </w:rPr>
        <w:t xml:space="preserve">potential room for improvement </w:t>
      </w:r>
      <w:r w:rsidRPr="69792129">
        <w:rPr>
          <w:lang w:val="en-CA" w:eastAsia="en-CA"/>
        </w:rPr>
        <w:t xml:space="preserve">in </w:t>
      </w:r>
      <w:r w:rsidR="009D403D">
        <w:rPr>
          <w:lang w:val="en-CA" w:eastAsia="en-CA"/>
        </w:rPr>
        <w:t>efforts to</w:t>
      </w:r>
      <w:r w:rsidR="009D403D" w:rsidRPr="69792129">
        <w:rPr>
          <w:lang w:val="en-CA" w:eastAsia="en-CA"/>
        </w:rPr>
        <w:t xml:space="preserve"> reduc</w:t>
      </w:r>
      <w:r w:rsidR="009D403D">
        <w:rPr>
          <w:lang w:val="en-CA" w:eastAsia="en-CA"/>
        </w:rPr>
        <w:t>e greenhouse</w:t>
      </w:r>
      <w:r w:rsidR="009D403D" w:rsidRPr="69792129">
        <w:rPr>
          <w:lang w:val="en-CA" w:eastAsia="en-CA"/>
        </w:rPr>
        <w:t xml:space="preserve"> emissions</w:t>
      </w:r>
      <w:r w:rsidR="006B2C86">
        <w:rPr>
          <w:lang w:val="en-CA" w:eastAsia="en-CA"/>
        </w:rPr>
        <w:t>.</w:t>
      </w:r>
      <w:r w:rsidR="009D403D" w:rsidRPr="69792129">
        <w:rPr>
          <w:lang w:val="en-CA" w:eastAsia="en-CA"/>
        </w:rPr>
        <w:t xml:space="preserve"> </w:t>
      </w:r>
      <w:r w:rsidR="65CD62AE" w:rsidRPr="4716293C">
        <w:rPr>
          <w:rFonts w:eastAsia="Source Sans Pro Light" w:cs="Source Sans Pro Light"/>
          <w:lang w:val="en-CA"/>
        </w:rPr>
        <w:t>These scores reflect actions and commitments made by city and county governments to address climate risks, reduce emissions</w:t>
      </w:r>
      <w:r w:rsidR="56E09A42" w:rsidRPr="4716293C">
        <w:rPr>
          <w:rFonts w:eastAsia="Source Sans Pro Light" w:cs="Source Sans Pro Light"/>
          <w:lang w:val="en-CA"/>
        </w:rPr>
        <w:t xml:space="preserve"> and</w:t>
      </w:r>
      <w:r w:rsidR="65CD62AE" w:rsidRPr="4716293C">
        <w:rPr>
          <w:rFonts w:eastAsia="Source Sans Pro Light" w:cs="Source Sans Pro Light"/>
          <w:lang w:val="en-CA"/>
        </w:rPr>
        <w:t xml:space="preserve"> build community resilience. </w:t>
      </w:r>
    </w:p>
    <w:p w14:paraId="31951B16" w14:textId="6BFCE2FB" w:rsidR="00B20535" w:rsidRDefault="65CD62AE" w:rsidP="4716293C">
      <w:pPr>
        <w:spacing w:before="240" w:after="240"/>
      </w:pPr>
      <w:r w:rsidRPr="4716293C">
        <w:rPr>
          <w:rFonts w:eastAsia="Source Sans Pro Light" w:cs="Source Sans Pro Light"/>
          <w:lang w:val="en-CA"/>
        </w:rPr>
        <w:t xml:space="preserve">The lowest qualitative ratings </w:t>
      </w:r>
      <w:r w:rsidR="006B2C86">
        <w:rPr>
          <w:rFonts w:eastAsia="Source Sans Pro Light" w:cs="Source Sans Pro Light"/>
          <w:lang w:val="en-CA"/>
        </w:rPr>
        <w:t>from panelists are</w:t>
      </w:r>
      <w:r w:rsidRPr="4716293C">
        <w:rPr>
          <w:rFonts w:eastAsia="Source Sans Pro Light" w:cs="Source Sans Pro Light"/>
          <w:lang w:val="en-CA"/>
        </w:rPr>
        <w:t xml:space="preserve"> for budget allocations and regulations</w:t>
      </w:r>
      <w:r w:rsidR="56E09A42" w:rsidRPr="4716293C">
        <w:rPr>
          <w:rFonts w:eastAsia="Source Sans Pro Light" w:cs="Source Sans Pro Light"/>
          <w:lang w:val="en-CA"/>
        </w:rPr>
        <w:t xml:space="preserve"> and</w:t>
      </w:r>
      <w:r w:rsidRPr="4716293C">
        <w:rPr>
          <w:rFonts w:eastAsia="Source Sans Pro Light" w:cs="Source Sans Pro Light"/>
          <w:lang w:val="en-CA"/>
        </w:rPr>
        <w:t xml:space="preserve"> for cooperation and coordination</w:t>
      </w:r>
      <w:r w:rsidR="728989BD" w:rsidRPr="4716293C">
        <w:rPr>
          <w:rFonts w:eastAsia="Source Sans Pro Light" w:cs="Source Sans Pro Light"/>
          <w:lang w:val="en-CA"/>
        </w:rPr>
        <w:t xml:space="preserve"> </w:t>
      </w:r>
      <w:r w:rsidRPr="4716293C">
        <w:rPr>
          <w:rFonts w:eastAsia="Source Sans Pro Light" w:cs="Source Sans Pro Light"/>
          <w:lang w:val="en-CA"/>
        </w:rPr>
        <w:t>—</w:t>
      </w:r>
      <w:r w:rsidR="728989BD" w:rsidRPr="4716293C">
        <w:rPr>
          <w:rFonts w:eastAsia="Source Sans Pro Light" w:cs="Source Sans Pro Light"/>
          <w:lang w:val="en-CA"/>
        </w:rPr>
        <w:t xml:space="preserve"> </w:t>
      </w:r>
      <w:r w:rsidRPr="4716293C">
        <w:rPr>
          <w:rFonts w:eastAsia="Source Sans Pro Light" w:cs="Source Sans Pro Light"/>
          <w:lang w:val="en-CA"/>
        </w:rPr>
        <w:t xml:space="preserve">highlighting stakeholder concerns about fragmented implementation and insufficient resources. This is reflected in panelist comments such as: </w:t>
      </w:r>
      <w:r w:rsidRPr="4716293C">
        <w:rPr>
          <w:rFonts w:eastAsia="Source Sans Pro Light" w:cs="Source Sans Pro Light"/>
          <w:i/>
          <w:iCs/>
          <w:lang w:val="en-CA"/>
        </w:rPr>
        <w:t>"There doesn't seem to be a coordinated effort to fix the issue due to multiple concerns about budget, land rights of property owners along the rail corridor, etc."</w:t>
      </w:r>
    </w:p>
    <w:p w14:paraId="65D4BD31" w14:textId="0C548D34" w:rsidR="00B20535" w:rsidRDefault="00DB528B" w:rsidP="4716293C">
      <w:pPr>
        <w:spacing w:before="240" w:after="240"/>
      </w:pPr>
      <w:r>
        <w:rPr>
          <w:rFonts w:eastAsia="Source Sans Pro Light" w:cs="Source Sans Pro Light"/>
          <w:lang w:val="en-CA"/>
        </w:rPr>
        <w:t xml:space="preserve">The City of </w:t>
      </w:r>
      <w:r w:rsidR="65CD62AE" w:rsidRPr="4716293C">
        <w:rPr>
          <w:rFonts w:eastAsia="Source Sans Pro Light" w:cs="Source Sans Pro Light"/>
          <w:lang w:val="en-CA"/>
        </w:rPr>
        <w:t xml:space="preserve">Santa Monica's </w:t>
      </w:r>
      <w:hyperlink r:id="rId39">
        <w:r>
          <w:rPr>
            <w:rStyle w:val="Hyperlink"/>
            <w:rFonts w:eastAsia="Source Sans Pro Light" w:cs="Source Sans Pro Light"/>
            <w:i/>
            <w:iCs/>
            <w:lang w:val="en-CA"/>
          </w:rPr>
          <w:t>Climate Action and Adaptation Plan</w:t>
        </w:r>
      </w:hyperlink>
      <w:r w:rsidR="65CD62AE" w:rsidRPr="4716293C">
        <w:rPr>
          <w:rFonts w:eastAsia="Source Sans Pro Light" w:cs="Source Sans Pro Light"/>
          <w:lang w:val="en-CA"/>
        </w:rPr>
        <w:t xml:space="preserve"> is an example of a best-in-class municipal initiative, setting ambitious targets to reduce carbon emissions, increase resilience</w:t>
      </w:r>
      <w:r w:rsidR="56E09A42" w:rsidRPr="4716293C">
        <w:rPr>
          <w:rFonts w:eastAsia="Source Sans Pro Light" w:cs="Source Sans Pro Light"/>
          <w:lang w:val="en-CA"/>
        </w:rPr>
        <w:t xml:space="preserve"> and</w:t>
      </w:r>
      <w:r w:rsidR="65CD62AE" w:rsidRPr="4716293C">
        <w:rPr>
          <w:rFonts w:eastAsia="Source Sans Pro Light" w:cs="Source Sans Pro Light"/>
          <w:lang w:val="en-CA"/>
        </w:rPr>
        <w:t xml:space="preserve"> promote sustainability through goals like converting 50% of trips to walking/biking and 50% of vehicles to electric by 2030. The plan also integrates climate impacts into planning processes and emphasizes water self-sufficiency, coastal flooding preparedness</w:t>
      </w:r>
      <w:r w:rsidR="56E09A42" w:rsidRPr="4716293C">
        <w:rPr>
          <w:rFonts w:eastAsia="Source Sans Pro Light" w:cs="Source Sans Pro Light"/>
          <w:lang w:val="en-CA"/>
        </w:rPr>
        <w:t xml:space="preserve"> and</w:t>
      </w:r>
      <w:r w:rsidR="65CD62AE" w:rsidRPr="4716293C">
        <w:rPr>
          <w:rFonts w:eastAsia="Source Sans Pro Light" w:cs="Source Sans Pro Light"/>
          <w:lang w:val="en-CA"/>
        </w:rPr>
        <w:t xml:space="preserve"> low-carbon food systems</w:t>
      </w:r>
      <w:r w:rsidR="00AD598F">
        <w:rPr>
          <w:rFonts w:eastAsia="Source Sans Pro Light" w:cs="Source Sans Pro Light"/>
          <w:lang w:val="en-CA"/>
        </w:rPr>
        <w:t xml:space="preserve"> </w:t>
      </w:r>
      <w:r w:rsidR="65CD62AE" w:rsidRPr="4716293C">
        <w:rPr>
          <w:rFonts w:eastAsia="Source Sans Pro Light" w:cs="Source Sans Pro Light"/>
          <w:lang w:val="en-CA"/>
        </w:rPr>
        <w:t>—</w:t>
      </w:r>
      <w:r w:rsidR="00AD598F">
        <w:rPr>
          <w:rFonts w:eastAsia="Source Sans Pro Light" w:cs="Source Sans Pro Light"/>
          <w:lang w:val="en-CA"/>
        </w:rPr>
        <w:t xml:space="preserve"> </w:t>
      </w:r>
      <w:r w:rsidR="65CD62AE" w:rsidRPr="4716293C">
        <w:rPr>
          <w:rFonts w:eastAsia="Source Sans Pro Light" w:cs="Source Sans Pro Light"/>
          <w:lang w:val="en-CA"/>
        </w:rPr>
        <w:t>many of which have clear relevance to the visitor experience.</w:t>
      </w:r>
    </w:p>
    <w:p w14:paraId="6B7AD5FF" w14:textId="571162C5" w:rsidR="00B20535" w:rsidRDefault="65CD62AE" w:rsidP="4716293C">
      <w:pPr>
        <w:spacing w:before="240" w:after="240"/>
      </w:pPr>
      <w:r w:rsidRPr="4716293C">
        <w:rPr>
          <w:rFonts w:eastAsia="Source Sans Pro Light" w:cs="Source Sans Pro Light"/>
          <w:lang w:val="en-CA"/>
        </w:rPr>
        <w:t xml:space="preserve">At the county level, the </w:t>
      </w:r>
      <w:hyperlink r:id="rId40">
        <w:r w:rsidRPr="4716293C">
          <w:rPr>
            <w:rStyle w:val="Hyperlink"/>
            <w:rFonts w:eastAsia="Source Sans Pro Light" w:cs="Source Sans Pro Light"/>
            <w:i/>
            <w:iCs/>
            <w:lang w:val="en-CA"/>
          </w:rPr>
          <w:t>Los Angeles County 2045 Climate Action Plan</w:t>
        </w:r>
        <w:r w:rsidRPr="4716293C">
          <w:rPr>
            <w:rStyle w:val="Hyperlink"/>
            <w:rFonts w:eastAsia="Source Sans Pro Light" w:cs="Source Sans Pro Light"/>
            <w:lang w:val="en-CA"/>
          </w:rPr>
          <w:t xml:space="preserve"> (2045 CAP</w:t>
        </w:r>
      </w:hyperlink>
      <w:r w:rsidRPr="4716293C">
        <w:rPr>
          <w:rFonts w:eastAsia="Source Sans Pro Light" w:cs="Source Sans Pro Light"/>
          <w:lang w:val="en-CA"/>
        </w:rPr>
        <w:t>) provides a framework for reducing greenhouse gas emissions in unincorporated areas by 83% below 2015 levels by 2045. While not focused specifically on tourism, its strategies</w:t>
      </w:r>
      <w:r w:rsidR="00AD598F">
        <w:rPr>
          <w:rFonts w:eastAsia="Source Sans Pro Light" w:cs="Source Sans Pro Light"/>
          <w:lang w:val="en-CA"/>
        </w:rPr>
        <w:t xml:space="preserve">, </w:t>
      </w:r>
      <w:r w:rsidRPr="4716293C">
        <w:rPr>
          <w:rFonts w:eastAsia="Source Sans Pro Light" w:cs="Source Sans Pro Light"/>
          <w:lang w:val="en-CA"/>
        </w:rPr>
        <w:t xml:space="preserve">such as transitioning to renewable energy and enhancing urban </w:t>
      </w:r>
      <w:proofErr w:type="gramStart"/>
      <w:r w:rsidRPr="4716293C">
        <w:rPr>
          <w:rFonts w:eastAsia="Source Sans Pro Light" w:cs="Source Sans Pro Light"/>
          <w:lang w:val="en-CA"/>
        </w:rPr>
        <w:t>greening</w:t>
      </w:r>
      <w:r w:rsidR="00AD598F">
        <w:rPr>
          <w:rFonts w:eastAsia="Source Sans Pro Light" w:cs="Source Sans Pro Light"/>
          <w:lang w:val="en-CA"/>
        </w:rPr>
        <w:t xml:space="preserve">, </w:t>
      </w:r>
      <w:r w:rsidR="5AC4E09F" w:rsidRPr="4716293C">
        <w:rPr>
          <w:rFonts w:eastAsia="Source Sans Pro Light" w:cs="Source Sans Pro Light"/>
          <w:lang w:val="en-CA"/>
        </w:rPr>
        <w:t xml:space="preserve"> </w:t>
      </w:r>
      <w:r w:rsidRPr="4716293C">
        <w:rPr>
          <w:rFonts w:eastAsia="Source Sans Pro Light" w:cs="Source Sans Pro Light"/>
          <w:lang w:val="en-CA"/>
        </w:rPr>
        <w:t>carry</w:t>
      </w:r>
      <w:proofErr w:type="gramEnd"/>
      <w:r w:rsidRPr="4716293C">
        <w:rPr>
          <w:rFonts w:eastAsia="Source Sans Pro Light" w:cs="Source Sans Pro Light"/>
          <w:lang w:val="en-CA"/>
        </w:rPr>
        <w:t xml:space="preserve"> significant implications for tourism infrastructure, quality of place</w:t>
      </w:r>
      <w:r w:rsidR="1BB1B88C" w:rsidRPr="4716293C">
        <w:rPr>
          <w:rFonts w:eastAsia="Source Sans Pro Light" w:cs="Source Sans Pro Light"/>
          <w:lang w:val="en-CA"/>
        </w:rPr>
        <w:t xml:space="preserve"> and</w:t>
      </w:r>
      <w:r w:rsidRPr="4716293C">
        <w:rPr>
          <w:rFonts w:eastAsia="Source Sans Pro Light" w:cs="Source Sans Pro Light"/>
          <w:lang w:val="en-CA"/>
        </w:rPr>
        <w:t xml:space="preserve"> visitor experiences.</w:t>
      </w:r>
    </w:p>
    <w:p w14:paraId="2A52F2C9" w14:textId="709FC991" w:rsidR="00B20535" w:rsidRDefault="65CD62AE" w:rsidP="4716293C">
      <w:pPr>
        <w:spacing w:before="240" w:after="240"/>
      </w:pPr>
      <w:r w:rsidRPr="4716293C">
        <w:rPr>
          <w:rFonts w:eastAsia="Source Sans Pro Light" w:cs="Source Sans Pro Light"/>
          <w:lang w:val="en-CA"/>
        </w:rPr>
        <w:t>These findings underscore the importance of improving communication and alignment between those implementing resilience and climate strategies and the broader tourism industry. While strong planning frameworks exist, their visibility, accessibility</w:t>
      </w:r>
      <w:r w:rsidR="56E09A42" w:rsidRPr="4716293C">
        <w:rPr>
          <w:rFonts w:eastAsia="Source Sans Pro Light" w:cs="Source Sans Pro Light"/>
          <w:lang w:val="en-CA"/>
        </w:rPr>
        <w:t xml:space="preserve"> and</w:t>
      </w:r>
      <w:r w:rsidRPr="4716293C">
        <w:rPr>
          <w:rFonts w:eastAsia="Source Sans Pro Light" w:cs="Source Sans Pro Light"/>
          <w:lang w:val="en-CA"/>
        </w:rPr>
        <w:t xml:space="preserve"> relevance to tourism stakeholders remain limited.</w:t>
      </w:r>
    </w:p>
    <w:p w14:paraId="78897F01" w14:textId="33AFB159" w:rsidR="00B20535" w:rsidRDefault="65CD62AE" w:rsidP="4716293C">
      <w:pPr>
        <w:spacing w:before="240" w:after="240"/>
      </w:pPr>
      <w:r w:rsidRPr="4716293C">
        <w:rPr>
          <w:rFonts w:eastAsia="Source Sans Pro Light" w:cs="Source Sans Pro Light"/>
          <w:lang w:val="en-CA"/>
        </w:rPr>
        <w:t>Destination managers have a unique opportunity to bridge this gap by integrating resilience priorities into tourism-specific plans and advocating for greater coordination across sectors. Enhancing awareness of existing initiatives, clarifying how tourism fits into regional strategies</w:t>
      </w:r>
      <w:r w:rsidR="56E09A42" w:rsidRPr="4716293C">
        <w:rPr>
          <w:rFonts w:eastAsia="Source Sans Pro Light" w:cs="Source Sans Pro Light"/>
          <w:lang w:val="en-CA"/>
        </w:rPr>
        <w:t xml:space="preserve"> and</w:t>
      </w:r>
      <w:r w:rsidRPr="4716293C">
        <w:rPr>
          <w:rFonts w:eastAsia="Source Sans Pro Light" w:cs="Source Sans Pro Light"/>
          <w:lang w:val="en-CA"/>
        </w:rPr>
        <w:t xml:space="preserve"> addressing resource allocation and implementation consistency across jurisdictions will be key to strengthening Los Angeles County’s tourism resilience and sustainability in the years ahead.</w:t>
      </w:r>
    </w:p>
    <w:p w14:paraId="4DDA3615" w14:textId="77777777" w:rsidR="00B20535" w:rsidRDefault="00B20535" w:rsidP="00B20535">
      <w:pPr>
        <w:jc w:val="center"/>
        <w:rPr>
          <w:sz w:val="28"/>
          <w:szCs w:val="28"/>
          <w:lang w:val="en-CA"/>
        </w:rPr>
      </w:pPr>
      <w:r>
        <w:rPr>
          <w:noProof/>
          <w:sz w:val="28"/>
          <w:szCs w:val="28"/>
          <w:lang w:val="en-CA"/>
        </w:rPr>
        <w:lastRenderedPageBreak/>
        <w:drawing>
          <wp:inline distT="0" distB="0" distL="0" distR="0" wp14:anchorId="5736B105" wp14:editId="552F50AE">
            <wp:extent cx="6400800" cy="2193676"/>
            <wp:effectExtent l="0" t="0" r="0" b="3810"/>
            <wp:docPr id="1996503925"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03925" name="Picture 7" descr="A screenshot of a computer&#10;&#10;AI-generated content may be incorrect."/>
                    <pic:cNvPicPr>
                      <a:picLocks noChangeAspect="1" noChangeArrowheads="1"/>
                    </pic:cNvPicPr>
                  </pic:nvPicPr>
                  <pic:blipFill rotWithShape="1">
                    <a:blip r:embed="rId41">
                      <a:extLst>
                        <a:ext uri="{28A0092B-C50C-407E-A947-70E740481C1C}">
                          <a14:useLocalDpi xmlns:a14="http://schemas.microsoft.com/office/drawing/2010/main" val="0"/>
                        </a:ext>
                      </a:extLst>
                    </a:blip>
                    <a:srcRect l="1001" r="4161"/>
                    <a:stretch/>
                  </pic:blipFill>
                  <pic:spPr bwMode="auto">
                    <a:xfrm>
                      <a:off x="0" y="0"/>
                      <a:ext cx="6400800" cy="2193676"/>
                    </a:xfrm>
                    <a:prstGeom prst="rect">
                      <a:avLst/>
                    </a:prstGeom>
                    <a:noFill/>
                    <a:ln>
                      <a:noFill/>
                    </a:ln>
                    <a:extLst>
                      <a:ext uri="{53640926-AAD7-44D8-BBD7-CCE9431645EC}">
                        <a14:shadowObscured xmlns:a14="http://schemas.microsoft.com/office/drawing/2010/main"/>
                      </a:ext>
                    </a:extLst>
                  </pic:spPr>
                </pic:pic>
              </a:graphicData>
            </a:graphic>
          </wp:inline>
        </w:drawing>
      </w:r>
    </w:p>
    <w:p w14:paraId="4759B30C" w14:textId="77777777" w:rsidR="00B20535" w:rsidRPr="0050622D" w:rsidRDefault="00B20535" w:rsidP="00B20535">
      <w:pPr>
        <w:pStyle w:val="Heading3"/>
      </w:pPr>
      <w:r>
        <w:t>CSF 2 quantitative rating descriptions</w:t>
      </w:r>
    </w:p>
    <w:p w14:paraId="4CA5D383" w14:textId="51FA1AF3" w:rsidR="006639AD" w:rsidRPr="00FF4032" w:rsidRDefault="69FCFD96" w:rsidP="1D4EFCFD">
      <w:pPr>
        <w:rPr>
          <w:lang w:val="en-CA"/>
        </w:rPr>
      </w:pPr>
      <w:r w:rsidRPr="53375988">
        <w:rPr>
          <w:lang w:val="en-CA"/>
        </w:rPr>
        <w:t xml:space="preserve">An inventory of local </w:t>
      </w:r>
      <w:r w:rsidR="2699977E" w:rsidRPr="53375988">
        <w:rPr>
          <w:lang w:val="en-CA"/>
        </w:rPr>
        <w:t xml:space="preserve">destinations was </w:t>
      </w:r>
      <w:proofErr w:type="gramStart"/>
      <w:r w:rsidR="7315561B" w:rsidRPr="53375988">
        <w:rPr>
          <w:lang w:val="en-CA"/>
        </w:rPr>
        <w:t>compiled</w:t>
      </w:r>
      <w:proofErr w:type="gramEnd"/>
      <w:r w:rsidR="2D013429" w:rsidRPr="53375988">
        <w:rPr>
          <w:lang w:val="en-CA"/>
        </w:rPr>
        <w:t xml:space="preserve"> and</w:t>
      </w:r>
      <w:r w:rsidR="2699977E" w:rsidRPr="53375988">
        <w:rPr>
          <w:lang w:val="en-CA"/>
        </w:rPr>
        <w:t xml:space="preserve"> </w:t>
      </w:r>
      <w:r w:rsidR="7C74E090" w:rsidRPr="53375988">
        <w:rPr>
          <w:lang w:val="en-CA"/>
        </w:rPr>
        <w:t xml:space="preserve">a </w:t>
      </w:r>
      <w:r w:rsidR="0D1A1EBC" w:rsidRPr="53375988">
        <w:rPr>
          <w:lang w:val="en-CA"/>
        </w:rPr>
        <w:t xml:space="preserve">desk </w:t>
      </w:r>
      <w:r w:rsidR="7C74E090" w:rsidRPr="53375988">
        <w:rPr>
          <w:lang w:val="en-CA"/>
        </w:rPr>
        <w:t xml:space="preserve">top review was completed to </w:t>
      </w:r>
      <w:r w:rsidR="2699977E" w:rsidRPr="53375988">
        <w:rPr>
          <w:lang w:val="en-CA"/>
        </w:rPr>
        <w:t>evaluate</w:t>
      </w:r>
      <w:r w:rsidR="7C74E090" w:rsidRPr="53375988">
        <w:rPr>
          <w:lang w:val="en-CA"/>
        </w:rPr>
        <w:t xml:space="preserve"> each plan</w:t>
      </w:r>
      <w:r w:rsidR="2699977E" w:rsidRPr="53375988">
        <w:rPr>
          <w:lang w:val="en-CA"/>
        </w:rPr>
        <w:t xml:space="preserve"> along three </w:t>
      </w:r>
      <w:r w:rsidR="339C90E6" w:rsidRPr="53375988">
        <w:rPr>
          <w:lang w:val="en-CA"/>
        </w:rPr>
        <w:t>criteria:</w:t>
      </w:r>
      <w:r w:rsidR="7C74E090" w:rsidRPr="53375988">
        <w:rPr>
          <w:lang w:val="en-CA"/>
        </w:rPr>
        <w:t xml:space="preserve"> </w:t>
      </w:r>
    </w:p>
    <w:p w14:paraId="61FBB7A9" w14:textId="77777777" w:rsidR="00153758" w:rsidRDefault="17789143" w:rsidP="00153758">
      <w:pPr>
        <w:pStyle w:val="Heading4"/>
      </w:pPr>
      <w:r>
        <w:t>Disaster risk management planning</w:t>
      </w:r>
    </w:p>
    <w:p w14:paraId="1E67A24B" w14:textId="5887EE74" w:rsidR="00B0390A" w:rsidRPr="00011BF5" w:rsidRDefault="74460AA2" w:rsidP="18E55A4C">
      <w:pPr>
        <w:pStyle w:val="Heading4"/>
        <w:rPr>
          <w:rFonts w:eastAsia="Source Sans Pro Light" w:cs="Source Sans Pro Light"/>
          <w:i w:val="0"/>
          <w:iCs w:val="0"/>
          <w:color w:val="000000" w:themeColor="text1"/>
        </w:rPr>
      </w:pPr>
      <w:r w:rsidRPr="18E55A4C">
        <w:rPr>
          <w:rFonts w:eastAsia="Source Sans Pro Light" w:cs="Source Sans Pro Light"/>
          <w:i w:val="0"/>
          <w:iCs w:val="0"/>
          <w:color w:val="000000" w:themeColor="text1"/>
        </w:rPr>
        <w:t xml:space="preserve">Indicates whether a destination has identified and mapped specific hazards, conducted detailed risk assessments, analyzed vulnerabilities and developed robust disaster management plans and hazard mitigation strategies. The </w:t>
      </w:r>
      <w:r w:rsidR="0048442A" w:rsidRPr="18E55A4C">
        <w:rPr>
          <w:rFonts w:eastAsia="Source Sans Pro Light" w:cs="Source Sans Pro Light"/>
          <w:i w:val="0"/>
          <w:iCs w:val="0"/>
          <w:color w:val="000000" w:themeColor="text1"/>
        </w:rPr>
        <w:t>p</w:t>
      </w:r>
      <w:r w:rsidRPr="18E55A4C">
        <w:rPr>
          <w:rFonts w:eastAsia="Source Sans Pro Light" w:cs="Source Sans Pro Light"/>
          <w:i w:val="0"/>
          <w:iCs w:val="0"/>
          <w:color w:val="000000" w:themeColor="text1"/>
        </w:rPr>
        <w:t xml:space="preserve">resence and comprehensiveness of these plans and strategies indirectly reflect the destination's capability to safeguard visitors, local communities and tourism infrastructure from potential impacts of natural or man-made disasters. </w:t>
      </w:r>
    </w:p>
    <w:p w14:paraId="1110281B" w14:textId="37785528" w:rsidR="00153758" w:rsidRDefault="7372D363" w:rsidP="00153758">
      <w:pPr>
        <w:pStyle w:val="Heading4"/>
      </w:pPr>
      <w:r>
        <w:t>Climate adaption planning</w:t>
      </w:r>
    </w:p>
    <w:p w14:paraId="663D7FA4" w14:textId="05E0CD92" w:rsidR="00CA6E12" w:rsidRPr="002E45A9" w:rsidRDefault="3449AC38" w:rsidP="006C3092">
      <w:pPr>
        <w:ind w:left="360"/>
      </w:pPr>
      <w:r>
        <w:t>Indicates whether</w:t>
      </w:r>
      <w:r w:rsidR="56B97FAE">
        <w:t xml:space="preserve"> a destination has developed </w:t>
      </w:r>
      <w:r w:rsidR="56A1A975">
        <w:t>a plan that discusses improving resilience of infrastructure to climate-change related disasters, consideration of water resource management, mitigation measures for floods and sea-level rise and public policies to integrate climate change considerations into broader planning framework.</w:t>
      </w:r>
      <w:r w:rsidR="00132D76">
        <w:t xml:space="preserve"> </w:t>
      </w:r>
      <w:r w:rsidR="56B97FAE">
        <w:t>The</w:t>
      </w:r>
      <w:r w:rsidR="22FC3069">
        <w:t>se</w:t>
      </w:r>
      <w:r w:rsidR="56B97FAE">
        <w:t xml:space="preserve"> plan</w:t>
      </w:r>
      <w:r w:rsidR="568754E0">
        <w:t>s</w:t>
      </w:r>
      <w:r w:rsidR="56B97FAE">
        <w:t xml:space="preserve"> typically include measures to reduce vulnerability to climate-related risks and capitalize on potential opportunities arising from changing climate conditions.</w:t>
      </w:r>
    </w:p>
    <w:p w14:paraId="78AC33F7" w14:textId="32F626E6" w:rsidR="00CA6E12" w:rsidRDefault="08EDF4D4" w:rsidP="00153758">
      <w:pPr>
        <w:pStyle w:val="Heading4"/>
      </w:pPr>
      <w:r>
        <w:t>Climate mitigation planning</w:t>
      </w:r>
    </w:p>
    <w:p w14:paraId="00E89474" w14:textId="61A5C2E5" w:rsidR="00CA6E12" w:rsidRDefault="56B97FAE" w:rsidP="006C3092">
      <w:pPr>
        <w:ind w:left="360"/>
      </w:pPr>
      <w:r>
        <w:t xml:space="preserve">Refers to the existence of a plan focused on reducing </w:t>
      </w:r>
      <w:r w:rsidR="22962221">
        <w:t>greenhouse gas emissions</w:t>
      </w:r>
      <w:r w:rsidR="6E7B1A56">
        <w:t xml:space="preserve"> from local economic activity the community’s</w:t>
      </w:r>
      <w:r>
        <w:t xml:space="preserve"> contribution to climate change. Such </w:t>
      </w:r>
      <w:r w:rsidR="4192BD89">
        <w:t>plans usually include</w:t>
      </w:r>
      <w:r>
        <w:t xml:space="preserve"> strategies to decrease greenhouse gas emissions from </w:t>
      </w:r>
      <w:r w:rsidR="6E7B1A56">
        <w:t>the built environment</w:t>
      </w:r>
      <w:r>
        <w:t xml:space="preserve">, promote sustainable practices and support the transition to low-carbon </w:t>
      </w:r>
      <w:r w:rsidR="47987941">
        <w:t xml:space="preserve">business </w:t>
      </w:r>
      <w:r>
        <w:t>operations</w:t>
      </w:r>
      <w:r w:rsidR="47987941">
        <w:t>, including in the tourism sector</w:t>
      </w:r>
      <w:r>
        <w:t>.</w:t>
      </w:r>
    </w:p>
    <w:p w14:paraId="28B9C665" w14:textId="281223C2" w:rsidR="00820ED4" w:rsidRPr="004E541A" w:rsidRDefault="12442545" w:rsidP="177858A2">
      <w:pPr>
        <w:keepNext/>
        <w:keepLines/>
        <w:spacing w:before="160" w:after="80"/>
        <w:rPr>
          <w:rFonts w:eastAsia="Source Sans Pro Light" w:cs="Source Sans Pro Light"/>
          <w:i/>
          <w:iCs/>
          <w:color w:val="0F4761" w:themeColor="accent1" w:themeShade="BF"/>
          <w:sz w:val="26"/>
          <w:szCs w:val="26"/>
        </w:rPr>
      </w:pPr>
      <w:r w:rsidRPr="177858A2">
        <w:rPr>
          <w:rFonts w:eastAsia="Source Sans Pro Light" w:cs="Source Sans Pro Light"/>
          <w:i/>
          <w:iCs/>
          <w:color w:val="0F4761" w:themeColor="accent1" w:themeShade="BF"/>
          <w:sz w:val="26"/>
          <w:szCs w:val="26"/>
          <w:u w:val="single"/>
        </w:rPr>
        <w:t xml:space="preserve"> CSF 2 qualitative ratings and findings</w:t>
      </w:r>
    </w:p>
    <w:p w14:paraId="5EDF1966" w14:textId="565EB882" w:rsidR="0015091E" w:rsidRPr="004178E7" w:rsidRDefault="0015091E" w:rsidP="0015091E">
      <w:r>
        <w:t>Qualitatively, the panelists assessed the region</w:t>
      </w:r>
      <w:r w:rsidR="00D9755B">
        <w:t xml:space="preserve"> </w:t>
      </w:r>
      <w:r w:rsidDel="00D9755B">
        <w:t xml:space="preserve">on CSF 2 </w:t>
      </w:r>
      <w:r>
        <w:t xml:space="preserve">across the following </w:t>
      </w:r>
      <w:r w:rsidR="00D9755B">
        <w:t xml:space="preserve">performance </w:t>
      </w:r>
      <w:r>
        <w:t>criteria:</w:t>
      </w:r>
    </w:p>
    <w:p w14:paraId="77DB17D1" w14:textId="218C5F17" w:rsidR="00684D6A" w:rsidRDefault="7EFC95E0" w:rsidP="00B0390A">
      <w:pPr>
        <w:pStyle w:val="Heading4"/>
      </w:pPr>
      <w:r w:rsidRPr="7EB1D5B9">
        <w:t xml:space="preserve">Budget allocation and </w:t>
      </w:r>
      <w:r w:rsidRPr="0DCBFA6C">
        <w:t>regulation</w:t>
      </w:r>
    </w:p>
    <w:p w14:paraId="1C4707ED" w14:textId="57F3AABC" w:rsidR="00684D6A" w:rsidRPr="004178E7" w:rsidRDefault="0269267D" w:rsidP="00011BF5">
      <w:pPr>
        <w:ind w:left="360"/>
        <w:rPr>
          <w:rFonts w:eastAsiaTheme="majorEastAsia" w:cstheme="majorBidi"/>
          <w:i/>
          <w:iCs/>
          <w:color w:val="0F4761" w:themeColor="accent1" w:themeShade="BF"/>
        </w:rPr>
      </w:pPr>
      <w:r w:rsidRPr="177858A2">
        <w:rPr>
          <w:rFonts w:eastAsia="Source Sans Pro Light" w:cs="Source Sans Pro Light"/>
        </w:rPr>
        <w:t xml:space="preserve">Indicates </w:t>
      </w:r>
      <w:r w:rsidR="68C02E43" w:rsidRPr="177858A2">
        <w:rPr>
          <w:lang w:val="en-CA"/>
        </w:rPr>
        <w:t xml:space="preserve">panelists’ perceptions of </w:t>
      </w:r>
      <w:r w:rsidRPr="177858A2">
        <w:rPr>
          <w:rFonts w:eastAsia="Source Sans Pro Light" w:cs="Source Sans Pro Light"/>
        </w:rPr>
        <w:t xml:space="preserve">whether policies and regulations are in place to mandate or support tourism stakeholders in </w:t>
      </w:r>
      <w:r w:rsidR="0E5E7310" w:rsidRPr="177858A2">
        <w:rPr>
          <w:rFonts w:eastAsia="Source Sans Pro Light" w:cs="Source Sans Pro Light"/>
        </w:rPr>
        <w:t>advancing resilience</w:t>
      </w:r>
      <w:r w:rsidR="057EA180" w:rsidRPr="177858A2">
        <w:rPr>
          <w:rFonts w:eastAsia="Source Sans Pro Light" w:cs="Source Sans Pro Light"/>
        </w:rPr>
        <w:t xml:space="preserve"> investments</w:t>
      </w:r>
      <w:r w:rsidR="0E5E7310" w:rsidRPr="177858A2">
        <w:rPr>
          <w:rFonts w:eastAsia="Source Sans Pro Light" w:cs="Source Sans Pro Light"/>
        </w:rPr>
        <w:t xml:space="preserve"> through planning and compliance mechanisms</w:t>
      </w:r>
      <w:r w:rsidRPr="177858A2">
        <w:rPr>
          <w:rFonts w:eastAsia="Source Sans Pro Light" w:cs="Source Sans Pro Light"/>
        </w:rPr>
        <w:t>, along with appropriate government budget allocations to fund these requirements.</w:t>
      </w:r>
      <w:r>
        <w:t xml:space="preserve"> </w:t>
      </w:r>
    </w:p>
    <w:p w14:paraId="238722C1" w14:textId="50B16473" w:rsidR="0015091E" w:rsidRPr="004178E7" w:rsidRDefault="00B50F6A" w:rsidP="00570C80">
      <w:pPr>
        <w:pStyle w:val="Heading4"/>
      </w:pPr>
      <w:r>
        <w:lastRenderedPageBreak/>
        <w:t>Risk-based</w:t>
      </w:r>
      <w:r w:rsidR="00E2142C">
        <w:t xml:space="preserve"> </w:t>
      </w:r>
      <w:r w:rsidR="002D2A21">
        <w:t>tourism planning</w:t>
      </w:r>
    </w:p>
    <w:p w14:paraId="5E86E583" w14:textId="393EDFDF" w:rsidR="009B1D2A" w:rsidRDefault="6C7DBCE3" w:rsidP="00011BF5">
      <w:pPr>
        <w:ind w:left="360"/>
      </w:pPr>
      <w:r w:rsidRPr="1D4EFCFD">
        <w:rPr>
          <w:rFonts w:eastAsia="Source Sans Pro Light" w:cs="Source Sans Pro Light"/>
        </w:rPr>
        <w:t xml:space="preserve">Indicates </w:t>
      </w:r>
      <w:r w:rsidR="00C25BFA" w:rsidRPr="1D4EFCFD">
        <w:rPr>
          <w:rFonts w:eastAsia="Source Sans Pro Light" w:cs="Source Sans Pro Light"/>
        </w:rPr>
        <w:t xml:space="preserve">the extent to which panelists feel </w:t>
      </w:r>
      <w:r w:rsidRPr="1D4EFCFD">
        <w:rPr>
          <w:rFonts w:eastAsia="Source Sans Pro Light" w:cs="Source Sans Pro Light"/>
        </w:rPr>
        <w:t>disaster- and climate-related risks are incorporated into tourism-related economic development plans and local zoning regulations to minimize vulnerabilities and support safe, sustainable tourism practices.</w:t>
      </w:r>
      <w:r>
        <w:t xml:space="preserve"> </w:t>
      </w:r>
    </w:p>
    <w:p w14:paraId="011D5548" w14:textId="34FE3978" w:rsidR="0015091E" w:rsidRPr="004178E7" w:rsidRDefault="67F21423" w:rsidP="00B0390A">
      <w:pPr>
        <w:pStyle w:val="Heading4"/>
      </w:pPr>
      <w:r>
        <w:t xml:space="preserve">Collaboration and coordination </w:t>
      </w:r>
    </w:p>
    <w:p w14:paraId="38BDFF48" w14:textId="3491B27E" w:rsidR="009B1D2A" w:rsidRDefault="4DE7A108" w:rsidP="00011BF5">
      <w:pPr>
        <w:ind w:left="360"/>
      </w:pPr>
      <w:r w:rsidRPr="1D4EFCFD">
        <w:rPr>
          <w:rFonts w:eastAsia="Source Sans Pro Light" w:cs="Source Sans Pro Light"/>
        </w:rPr>
        <w:t xml:space="preserve">Assesses </w:t>
      </w:r>
      <w:r w:rsidR="00C25BFA" w:rsidRPr="1D4EFCFD">
        <w:rPr>
          <w:lang w:val="en-CA"/>
        </w:rPr>
        <w:t xml:space="preserve">panelists’ perceptions of </w:t>
      </w:r>
      <w:r w:rsidRPr="1D4EFCFD">
        <w:rPr>
          <w:rFonts w:eastAsia="Source Sans Pro Light" w:cs="Source Sans Pro Light"/>
        </w:rPr>
        <w:t>the extent to which the tourism sector actively collaborates with public authorities responsible for disaster risk management and climate change adaptation in the region.</w:t>
      </w:r>
      <w:r>
        <w:t xml:space="preserve"> </w:t>
      </w:r>
    </w:p>
    <w:p w14:paraId="203217EB" w14:textId="28A76B66" w:rsidR="0015091E" w:rsidRPr="004E541A" w:rsidRDefault="39348169" w:rsidP="00B0390A">
      <w:pPr>
        <w:pStyle w:val="Heading4"/>
      </w:pPr>
      <w:r>
        <w:t>Effectiveness of resilience measures</w:t>
      </w:r>
    </w:p>
    <w:p w14:paraId="736618A0" w14:textId="37CC459F" w:rsidR="009B1D2A" w:rsidRPr="004178E7" w:rsidRDefault="27965343" w:rsidP="33100E05">
      <w:pPr>
        <w:spacing w:after="0"/>
        <w:ind w:left="360"/>
        <w:rPr>
          <w:rFonts w:eastAsia="Source Sans Pro Light" w:cs="Source Sans Pro Light"/>
        </w:rPr>
      </w:pPr>
      <w:r w:rsidRPr="177858A2">
        <w:rPr>
          <w:rFonts w:eastAsia="Source Sans Pro Light" w:cs="Source Sans Pro Light"/>
        </w:rPr>
        <w:t xml:space="preserve">Evaluates </w:t>
      </w:r>
      <w:r w:rsidR="68C02E43" w:rsidRPr="177858A2">
        <w:rPr>
          <w:lang w:val="en-CA"/>
        </w:rPr>
        <w:t xml:space="preserve">panelists’ perceptions of </w:t>
      </w:r>
      <w:r w:rsidR="1CB73DAA" w:rsidRPr="177858A2">
        <w:rPr>
          <w:rFonts w:eastAsia="Source Sans Pro Light" w:cs="Source Sans Pro Light"/>
        </w:rPr>
        <w:t xml:space="preserve">the effectiveness of implemented measures, such as infrastructure design, disaster risk financing and coordination agreements, in reducing the impacts of </w:t>
      </w:r>
      <w:r w:rsidR="4F185028" w:rsidRPr="177858A2">
        <w:rPr>
          <w:rFonts w:eastAsia="Source Sans Pro Light" w:cs="Source Sans Pro Light"/>
        </w:rPr>
        <w:t>natural disasters</w:t>
      </w:r>
      <w:r w:rsidR="1CB73DAA" w:rsidRPr="177858A2">
        <w:rPr>
          <w:rFonts w:eastAsia="Source Sans Pro Light" w:cs="Source Sans Pro Light"/>
        </w:rPr>
        <w:t>.</w:t>
      </w:r>
    </w:p>
    <w:p w14:paraId="2CCD9608" w14:textId="1ACA770D" w:rsidR="00DE75EE" w:rsidRDefault="1645E101" w:rsidP="00DE75EE">
      <w:pPr>
        <w:pStyle w:val="Heading4"/>
      </w:pPr>
      <w:r>
        <w:t xml:space="preserve">Climate </w:t>
      </w:r>
      <w:r w:rsidR="004B49EF">
        <w:t>a</w:t>
      </w:r>
      <w:r w:rsidR="15028FF0">
        <w:t>ction</w:t>
      </w:r>
    </w:p>
    <w:p w14:paraId="513F33A2" w14:textId="609C9874" w:rsidR="00175BDB" w:rsidRPr="00966D26" w:rsidRDefault="00175BDB" w:rsidP="00011BF5">
      <w:pPr>
        <w:ind w:left="360"/>
        <w:rPr>
          <w:rFonts w:eastAsia="Source Sans Pro Light" w:cs="Source Sans Pro Light"/>
        </w:rPr>
      </w:pPr>
      <w:r w:rsidRPr="1D4EFCFD">
        <w:rPr>
          <w:rFonts w:eastAsia="Source Sans Pro Light" w:cs="Source Sans Pro Light"/>
        </w:rPr>
        <w:t xml:space="preserve">Measures </w:t>
      </w:r>
      <w:r w:rsidR="00C25BFA" w:rsidRPr="1D4EFCFD">
        <w:rPr>
          <w:lang w:val="en-CA"/>
        </w:rPr>
        <w:t xml:space="preserve">panelists’ perceptions of </w:t>
      </w:r>
      <w:r w:rsidRPr="1D4EFCFD">
        <w:rPr>
          <w:rFonts w:eastAsia="Source Sans Pro Light" w:cs="Source Sans Pro Light"/>
        </w:rPr>
        <w:t>the integration of climate change adaptation into tourism planning and evaluates the industry's active adoption of measures addressing ongoing climate impacts on the tourism sector.</w:t>
      </w:r>
    </w:p>
    <w:p w14:paraId="2B0C3888" w14:textId="170D6BC1" w:rsidR="0095051E" w:rsidRPr="0050622D" w:rsidRDefault="0095051E" w:rsidP="18E55A4C">
      <w:pPr>
        <w:spacing w:after="0"/>
        <w:rPr>
          <w:rFonts w:eastAsia="Source Sans Pro Light" w:cs="Source Sans Pro Light"/>
        </w:rPr>
      </w:pPr>
      <w:r>
        <w:t xml:space="preserve">The five individual </w:t>
      </w:r>
      <w:r w:rsidR="50F850B1">
        <w:t xml:space="preserve">performance criteria </w:t>
      </w:r>
      <w:r>
        <w:t>and the subsequent findings are shown in Table 2 below:</w:t>
      </w:r>
    </w:p>
    <w:p w14:paraId="448A2F3E" w14:textId="77777777" w:rsidR="00176FA9" w:rsidRDefault="00176FA9" w:rsidP="0095051E">
      <w:pPr>
        <w:rPr>
          <w:b/>
          <w:bCs/>
          <w:i/>
          <w:iCs/>
        </w:rPr>
      </w:pPr>
    </w:p>
    <w:p w14:paraId="7C4B470B" w14:textId="294E867D" w:rsidR="0095051E" w:rsidRPr="0050622D" w:rsidRDefault="0095051E" w:rsidP="0095051E">
      <w:pPr>
        <w:rPr>
          <w:b/>
          <w:bCs/>
          <w:i/>
          <w:iCs/>
          <w:noProof/>
        </w:rPr>
      </w:pPr>
      <w:r w:rsidRPr="0050622D">
        <w:rPr>
          <w:b/>
          <w:bCs/>
          <w:i/>
          <w:iCs/>
        </w:rPr>
        <w:t>Table 2. CSF 2 qualitative performance criteria ratings</w:t>
      </w:r>
    </w:p>
    <w:tbl>
      <w:tblPr>
        <w:tblW w:w="5000" w:type="pct"/>
        <w:tblCellMar>
          <w:left w:w="0" w:type="dxa"/>
          <w:right w:w="0" w:type="dxa"/>
        </w:tblCellMar>
        <w:tblLook w:val="0420" w:firstRow="1" w:lastRow="0" w:firstColumn="0" w:lastColumn="0" w:noHBand="0" w:noVBand="1"/>
      </w:tblPr>
      <w:tblGrid>
        <w:gridCol w:w="1476"/>
        <w:gridCol w:w="1148"/>
        <w:gridCol w:w="7436"/>
      </w:tblGrid>
      <w:tr w:rsidR="0095051E" w:rsidRPr="0050622D" w14:paraId="535B3D6C" w14:textId="77777777" w:rsidTr="18E55A4C">
        <w:trPr>
          <w:trHeight w:val="543"/>
        </w:trPr>
        <w:tc>
          <w:tcPr>
            <w:tcW w:w="71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6EF15D44" w14:textId="77777777" w:rsidR="0095051E" w:rsidRPr="00C90640" w:rsidRDefault="0095051E" w:rsidP="00353979">
            <w:pPr>
              <w:jc w:val="center"/>
              <w:rPr>
                <w:color w:val="FFFFFF" w:themeColor="background1"/>
                <w:lang w:val="en-CA"/>
              </w:rPr>
            </w:pPr>
            <w:r w:rsidRPr="00C90640">
              <w:rPr>
                <w:b/>
                <w:bCs/>
                <w:color w:val="FFFFFF" w:themeColor="background1"/>
              </w:rPr>
              <w:t>Performance criteria</w:t>
            </w:r>
          </w:p>
        </w:tc>
        <w:tc>
          <w:tcPr>
            <w:tcW w:w="58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3C93E5AD" w14:textId="77777777" w:rsidR="0095051E" w:rsidRPr="00C90640" w:rsidRDefault="0095051E" w:rsidP="00353979">
            <w:pPr>
              <w:jc w:val="center"/>
              <w:rPr>
                <w:color w:val="FFFFFF" w:themeColor="background1"/>
                <w:lang w:val="en-CA"/>
              </w:rPr>
            </w:pPr>
            <w:r w:rsidRPr="00C90640">
              <w:rPr>
                <w:b/>
                <w:bCs/>
                <w:color w:val="FFFFFF" w:themeColor="background1"/>
              </w:rPr>
              <w:t>Rating</w:t>
            </w:r>
          </w:p>
        </w:tc>
        <w:tc>
          <w:tcPr>
            <w:tcW w:w="3707"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10DEEDF3" w14:textId="77777777" w:rsidR="0095051E" w:rsidRPr="00C90640" w:rsidRDefault="0095051E" w:rsidP="00353979">
            <w:pPr>
              <w:jc w:val="center"/>
              <w:rPr>
                <w:color w:val="FFFFFF" w:themeColor="background1"/>
                <w:lang w:val="en-CA"/>
              </w:rPr>
            </w:pPr>
            <w:r w:rsidRPr="00C90640">
              <w:rPr>
                <w:b/>
                <w:bCs/>
                <w:color w:val="FFFFFF" w:themeColor="background1"/>
              </w:rPr>
              <w:t>Findings</w:t>
            </w:r>
          </w:p>
        </w:tc>
      </w:tr>
      <w:tr w:rsidR="0095051E" w:rsidRPr="0050622D" w14:paraId="7F6448D8" w14:textId="77777777" w:rsidTr="18E55A4C">
        <w:trPr>
          <w:trHeight w:val="1024"/>
        </w:trPr>
        <w:tc>
          <w:tcPr>
            <w:tcW w:w="71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6E503046" w14:textId="77777777" w:rsidR="0095051E" w:rsidRPr="0050622D" w:rsidRDefault="0095051E" w:rsidP="00353979">
            <w:pPr>
              <w:jc w:val="center"/>
              <w:rPr>
                <w:b/>
                <w:bCs/>
                <w:lang w:val="en-CA"/>
              </w:rPr>
            </w:pPr>
            <w:r w:rsidRPr="0050622D">
              <w:rPr>
                <w:rFonts w:cs="Arial"/>
                <w:b/>
                <w:bCs/>
                <w:color w:val="000000"/>
                <w:kern w:val="24"/>
              </w:rPr>
              <w:t>Budget allocation and regulation</w:t>
            </w:r>
          </w:p>
        </w:tc>
        <w:tc>
          <w:tcPr>
            <w:tcW w:w="58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1558D7AE" w14:textId="77777777" w:rsidR="0095051E" w:rsidRPr="0050622D" w:rsidRDefault="0095051E" w:rsidP="00353979">
            <w:pPr>
              <w:jc w:val="center"/>
              <w:rPr>
                <w:lang w:val="en-CA"/>
              </w:rPr>
            </w:pPr>
            <w:r w:rsidRPr="0050622D">
              <w:rPr>
                <w:lang w:val="en-CA"/>
              </w:rPr>
              <w:t>1.5</w:t>
            </w:r>
          </w:p>
        </w:tc>
        <w:tc>
          <w:tcPr>
            <w:tcW w:w="370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0C56F792" w14:textId="0CAA4E98" w:rsidR="0095051E" w:rsidRPr="0050622D" w:rsidRDefault="00AD598F" w:rsidP="00353979">
            <w:r>
              <w:t>P</w:t>
            </w:r>
            <w:r w:rsidR="0095051E">
              <w:t>anelists</w:t>
            </w:r>
            <w:r>
              <w:t xml:space="preserve"> report</w:t>
            </w:r>
            <w:r w:rsidR="0095051E">
              <w:t xml:space="preserve"> a significant lack of support for tourism resilience in the region. Regarding budget allocations, </w:t>
            </w:r>
            <w:r w:rsidR="1DA6A808">
              <w:t>most</w:t>
            </w:r>
            <w:r w:rsidR="0095051E">
              <w:t xml:space="preserve"> panelists indicate either a complete absence or very limited budgets</w:t>
            </w:r>
            <w:r w:rsidR="7EF317F5">
              <w:t>,</w:t>
            </w:r>
            <w:r w:rsidR="0095051E">
              <w:t xml:space="preserve"> insufficient for effective resilience</w:t>
            </w:r>
            <w:r>
              <w:t xml:space="preserve"> initiatives</w:t>
            </w:r>
            <w:r w:rsidR="0095051E">
              <w:t>.</w:t>
            </w:r>
          </w:p>
        </w:tc>
      </w:tr>
      <w:tr w:rsidR="0095051E" w:rsidRPr="0050622D" w14:paraId="3012DF84" w14:textId="77777777" w:rsidTr="18E55A4C">
        <w:trPr>
          <w:trHeight w:val="771"/>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454B7823" w14:textId="77777777" w:rsidR="0095051E" w:rsidRPr="0050622D" w:rsidRDefault="0095051E" w:rsidP="00353979">
            <w:pPr>
              <w:jc w:val="center"/>
              <w:rPr>
                <w:b/>
                <w:bCs/>
                <w:lang w:val="en-CA"/>
              </w:rPr>
            </w:pPr>
            <w:r w:rsidRPr="0050622D">
              <w:rPr>
                <w:rFonts w:cs="Arial"/>
                <w:b/>
                <w:bCs/>
                <w:color w:val="000000"/>
                <w:kern w:val="24"/>
              </w:rPr>
              <w:t>Risk-based tourism planning</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7B4C9F51" w14:textId="77777777" w:rsidR="0095051E" w:rsidRPr="0050622D" w:rsidRDefault="0095051E" w:rsidP="00353979">
            <w:pPr>
              <w:jc w:val="center"/>
              <w:rPr>
                <w:lang w:val="en-CA"/>
              </w:rPr>
            </w:pPr>
            <w:r w:rsidRPr="0050622D">
              <w:rPr>
                <w:lang w:val="en-CA"/>
              </w:rPr>
              <w:t>3</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4588E701" w14:textId="2DFA6EF2" w:rsidR="0095051E" w:rsidRPr="0050622D" w:rsidRDefault="00AD598F" w:rsidP="00353979">
            <w:r>
              <w:t>Most panelists</w:t>
            </w:r>
            <w:r w:rsidR="0095051E">
              <w:t xml:space="preserve"> report minimal or partial risk incorporation in development plans and zoning regulations for tourism. However, panelists observe that in the metro region</w:t>
            </w:r>
            <w:r>
              <w:t>s,</w:t>
            </w:r>
            <w:r w:rsidR="0095051E">
              <w:t xml:space="preserve"> risk mitigation has taken place </w:t>
            </w:r>
            <w:proofErr w:type="gramStart"/>
            <w:r w:rsidR="0095051E">
              <w:t xml:space="preserve">but </w:t>
            </w:r>
            <w:r w:rsidR="000D7887">
              <w:t xml:space="preserve"> not</w:t>
            </w:r>
            <w:proofErr w:type="gramEnd"/>
            <w:r w:rsidR="000D7887">
              <w:t xml:space="preserve"> specific to </w:t>
            </w:r>
            <w:r w:rsidR="0095051E">
              <w:t>the tourism sector.</w:t>
            </w:r>
          </w:p>
        </w:tc>
      </w:tr>
      <w:tr w:rsidR="0095051E" w:rsidRPr="0050622D" w14:paraId="52E50296" w14:textId="77777777" w:rsidTr="18E55A4C">
        <w:trPr>
          <w:trHeight w:val="1024"/>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F158FBC" w14:textId="77777777" w:rsidR="0095051E" w:rsidRPr="0050622D" w:rsidRDefault="0095051E" w:rsidP="00353979">
            <w:pPr>
              <w:jc w:val="center"/>
              <w:rPr>
                <w:b/>
                <w:bCs/>
                <w:lang w:val="en-CA"/>
              </w:rPr>
            </w:pPr>
            <w:r w:rsidRPr="0050622D">
              <w:rPr>
                <w:rFonts w:cs="Arial"/>
                <w:b/>
                <w:bCs/>
                <w:color w:val="000000"/>
                <w:kern w:val="24"/>
              </w:rPr>
              <w:t>Cooperation and coordination</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93815C2" w14:textId="77777777" w:rsidR="0095051E" w:rsidRPr="0050622D" w:rsidRDefault="0095051E" w:rsidP="00353979">
            <w:pPr>
              <w:jc w:val="center"/>
              <w:rPr>
                <w:lang w:val="en-CA"/>
              </w:rPr>
            </w:pPr>
            <w:r w:rsidRPr="0050622D">
              <w:t>2</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57A793FC" w14:textId="4DC0BE8E" w:rsidR="0095051E" w:rsidRPr="0050622D" w:rsidRDefault="755ECBA6" w:rsidP="00353979">
            <w:r>
              <w:t>Most</w:t>
            </w:r>
            <w:r w:rsidR="0095051E">
              <w:t xml:space="preserve"> panelists report basic coordination between the tourism sector and authorities</w:t>
            </w:r>
            <w:r w:rsidR="00AD598F">
              <w:t xml:space="preserve"> on </w:t>
            </w:r>
            <w:r w:rsidR="0095051E">
              <w:t xml:space="preserve">resilience planning and advocacy. </w:t>
            </w:r>
          </w:p>
        </w:tc>
      </w:tr>
      <w:tr w:rsidR="0095051E" w:rsidRPr="0050622D" w14:paraId="58DC87AA" w14:textId="77777777" w:rsidTr="18E55A4C">
        <w:trPr>
          <w:trHeight w:val="632"/>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36A11EBE" w14:textId="77777777" w:rsidR="0095051E" w:rsidRPr="0050622D" w:rsidRDefault="0095051E" w:rsidP="00353979">
            <w:pPr>
              <w:jc w:val="center"/>
              <w:rPr>
                <w:b/>
                <w:bCs/>
                <w:lang w:val="en-CA"/>
              </w:rPr>
            </w:pPr>
            <w:r w:rsidRPr="0050622D">
              <w:rPr>
                <w:rFonts w:cs="Arial"/>
                <w:b/>
                <w:bCs/>
                <w:color w:val="000000"/>
                <w:kern w:val="24"/>
              </w:rPr>
              <w:t>Effectiveness of resilience measures</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5E25283A" w14:textId="77777777" w:rsidR="0095051E" w:rsidRPr="0050622D" w:rsidRDefault="0095051E" w:rsidP="00353979">
            <w:pPr>
              <w:jc w:val="center"/>
              <w:rPr>
                <w:lang w:val="en-CA"/>
              </w:rPr>
            </w:pPr>
            <w:r w:rsidRPr="0050622D">
              <w:rPr>
                <w:lang w:val="en-CA"/>
              </w:rPr>
              <w:t>2</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528524AB" w14:textId="376E49BE" w:rsidR="0095051E" w:rsidRPr="0050622D" w:rsidRDefault="74DF2437" w:rsidP="00353979">
            <w:r>
              <w:t>Most</w:t>
            </w:r>
            <w:r w:rsidR="0095051E">
              <w:t xml:space="preserve"> panelists report that some </w:t>
            </w:r>
            <w:r w:rsidR="00AD598F">
              <w:t xml:space="preserve">disaster and climate resilience </w:t>
            </w:r>
            <w:r w:rsidR="0095051E">
              <w:t xml:space="preserve">measures are in place, but their effectiveness is limited. </w:t>
            </w:r>
            <w:r w:rsidR="00AD598F">
              <w:t>Some</w:t>
            </w:r>
            <w:r w:rsidR="0095051E">
              <w:t xml:space="preserve"> panelists note</w:t>
            </w:r>
            <w:r w:rsidR="00AD598F">
              <w:t xml:space="preserve"> more</w:t>
            </w:r>
            <w:r w:rsidR="0095051E">
              <w:t xml:space="preserve"> </w:t>
            </w:r>
            <w:r w:rsidR="00AD598F">
              <w:t>positive</w:t>
            </w:r>
            <w:r w:rsidR="0095051E">
              <w:t xml:space="preserve"> effect</w:t>
            </w:r>
            <w:r w:rsidR="00AD598F">
              <w:t>s</w:t>
            </w:r>
            <w:r w:rsidR="0095051E">
              <w:t xml:space="preserve"> and effectiveness. </w:t>
            </w:r>
          </w:p>
        </w:tc>
      </w:tr>
      <w:tr w:rsidR="0095051E" w:rsidRPr="0050622D" w14:paraId="067B838B" w14:textId="77777777" w:rsidTr="18E55A4C">
        <w:trPr>
          <w:trHeight w:val="632"/>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1F4D72E8" w14:textId="77777777" w:rsidR="0095051E" w:rsidRPr="0050622D" w:rsidRDefault="0095051E" w:rsidP="00353979">
            <w:pPr>
              <w:jc w:val="center"/>
              <w:rPr>
                <w:b/>
                <w:bCs/>
                <w:lang w:val="en-CA"/>
              </w:rPr>
            </w:pPr>
            <w:r w:rsidRPr="0050622D">
              <w:rPr>
                <w:rFonts w:cs="Arial"/>
                <w:b/>
                <w:bCs/>
                <w:color w:val="000000"/>
                <w:kern w:val="24"/>
              </w:rPr>
              <w:t>Climate action</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793DE234" w14:textId="77777777" w:rsidR="0095051E" w:rsidRPr="0050622D" w:rsidRDefault="0095051E" w:rsidP="00353979">
            <w:pPr>
              <w:jc w:val="center"/>
            </w:pPr>
            <w:r w:rsidRPr="0050622D">
              <w:t>3</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561BE05F" w14:textId="7A7F3A83" w:rsidR="0095051E" w:rsidRPr="0050622D" w:rsidRDefault="00AD598F" w:rsidP="00353979">
            <w:r>
              <w:t>Most</w:t>
            </w:r>
            <w:r w:rsidR="0095051E" w:rsidRPr="0050622D">
              <w:t xml:space="preserve"> panelists rate the region's efforts </w:t>
            </w:r>
            <w:r w:rsidR="006815CE">
              <w:t>to</w:t>
            </w:r>
            <w:r w:rsidR="006815CE" w:rsidRPr="0050622D">
              <w:t xml:space="preserve"> </w:t>
            </w:r>
            <w:r w:rsidR="0095051E" w:rsidRPr="0050622D">
              <w:t xml:space="preserve">address the long-term impact of climate change on its tourism sector as showing progress. </w:t>
            </w:r>
          </w:p>
        </w:tc>
      </w:tr>
    </w:tbl>
    <w:p w14:paraId="2E75C089" w14:textId="77777777" w:rsidR="00F47497" w:rsidRDefault="00F47497" w:rsidP="18E55A4C">
      <w:pPr>
        <w:jc w:val="center"/>
        <w:rPr>
          <w:rFonts w:eastAsia="Source Sans Pro Light" w:cs="Source Sans Pro Light"/>
          <w:i/>
          <w:iCs/>
          <w:color w:val="000000" w:themeColor="text1"/>
        </w:rPr>
      </w:pPr>
    </w:p>
    <w:p w14:paraId="4B72159B" w14:textId="16D6187A" w:rsidR="0095051E" w:rsidRDefault="0095051E" w:rsidP="18E55A4C">
      <w:pPr>
        <w:jc w:val="center"/>
        <w:rPr>
          <w:rFonts w:eastAsia="Source Sans Pro Light" w:cs="Source Sans Pro Light"/>
          <w:i/>
          <w:iCs/>
          <w:color w:val="000000" w:themeColor="text1"/>
        </w:rPr>
      </w:pPr>
      <w:r>
        <w:rPr>
          <w:noProof/>
        </w:rPr>
        <mc:AlternateContent>
          <mc:Choice Requires="wps">
            <w:drawing>
              <wp:inline distT="45720" distB="45720" distL="114300" distR="114300" wp14:anchorId="56D894AB" wp14:editId="1A608C0D">
                <wp:extent cx="5029200" cy="1299210"/>
                <wp:effectExtent l="19050" t="19050" r="38100" b="41275"/>
                <wp:docPr id="389841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99210"/>
                        </a:xfrm>
                        <a:prstGeom prst="rect">
                          <a:avLst/>
                        </a:prstGeom>
                        <a:solidFill>
                          <a:srgbClr val="FFFFFF"/>
                        </a:solidFill>
                        <a:ln w="57150" cmpd="thickThin">
                          <a:solidFill>
                            <a:srgbClr val="000000"/>
                          </a:solidFill>
                          <a:miter lim="800000"/>
                          <a:headEnd/>
                          <a:tailEnd/>
                        </a:ln>
                      </wps:spPr>
                      <wps:txbx>
                        <w:txbxContent>
                          <w:p w14:paraId="436F9F36" w14:textId="77777777" w:rsidR="0095051E" w:rsidRPr="004B54EF" w:rsidRDefault="0095051E" w:rsidP="0095051E">
                            <w:pPr>
                              <w:spacing w:before="160"/>
                              <w:jc w:val="center"/>
                            </w:pPr>
                            <w:r w:rsidRPr="004B54EF">
                              <w:t xml:space="preserve">“Municipalities are undergoing climate resiliency planning </w:t>
                            </w:r>
                            <w:proofErr w:type="gramStart"/>
                            <w:r w:rsidRPr="004B54EF">
                              <w:t>now</w:t>
                            </w:r>
                            <w:r>
                              <w:t xml:space="preserve"> .</w:t>
                            </w:r>
                            <w:r w:rsidRPr="004B54EF">
                              <w:t>I</w:t>
                            </w:r>
                            <w:proofErr w:type="gramEnd"/>
                            <w:r w:rsidRPr="004B54EF">
                              <w:t xml:space="preserve"> think this is average across the regions."</w:t>
                            </w:r>
                          </w:p>
                          <w:p w14:paraId="2C3BABB1" w14:textId="77777777" w:rsidR="0095051E" w:rsidRPr="004B54EF" w:rsidRDefault="0095051E" w:rsidP="0095051E">
                            <w:pPr>
                              <w:jc w:val="center"/>
                            </w:pPr>
                            <w:r w:rsidRPr="004B54EF">
                              <w:t>"I know that Metro has plans and policies but have limited awareness of overall management of resilience in tourism destinations."</w:t>
                            </w:r>
                          </w:p>
                          <w:p w14:paraId="08366D50" w14:textId="77777777" w:rsidR="0095051E" w:rsidRDefault="0095051E" w:rsidP="0095051E">
                            <w:pPr>
                              <w:jc w:val="center"/>
                            </w:pPr>
                            <w:r w:rsidRPr="004B54EF">
                              <w:t>"Initial measures and efforts though well intended may have a short-term negative impact on tourism."</w:t>
                            </w:r>
                          </w:p>
                        </w:txbxContent>
                      </wps:txbx>
                      <wps:bodyPr rot="0" vert="horz" wrap="square" lIns="91440" tIns="45720" rIns="91440" bIns="45720" anchor="t" anchorCtr="0">
                        <a:spAutoFit/>
                      </wps:bodyPr>
                    </wps:wsp>
                  </a:graphicData>
                </a:graphic>
              </wp:inline>
            </w:drawing>
          </mc:Choice>
          <mc:Fallback>
            <w:pict>
              <v:shape w14:anchorId="56D894AB" id="_x0000_s1028" type="#_x0000_t202" style="width:396pt;height:10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" strokeweight="4.5pt">
                <v:stroke linestyle="thickThin"/>
                <v:textbox style="mso-fit-shape-to-text:t">
                  <w:txbxContent>
                    <w:p w14:paraId="436F9F36" w14:textId="77777777" w:rsidR="0095051E" w:rsidRPr="004B54EF" w:rsidRDefault="0095051E" w:rsidP="0095051E">
                      <w:pPr>
                        <w:spacing w:before="160"/>
                        <w:jc w:val="center"/>
                      </w:pPr>
                      <w:r w:rsidRPr="004B54EF">
                        <w:t xml:space="preserve">“Municipalities are undergoing climate resiliency planning </w:t>
                      </w:r>
                      <w:proofErr w:type="gramStart"/>
                      <w:r w:rsidRPr="004B54EF">
                        <w:t>now</w:t>
                      </w:r>
                      <w:r>
                        <w:t xml:space="preserve"> .</w:t>
                      </w:r>
                      <w:r w:rsidRPr="004B54EF">
                        <w:t>I</w:t>
                      </w:r>
                      <w:proofErr w:type="gramEnd"/>
                      <w:r w:rsidRPr="004B54EF">
                        <w:t xml:space="preserve"> think this is average across the regions."</w:t>
                      </w:r>
                    </w:p>
                    <w:p w14:paraId="2C3BABB1" w14:textId="77777777" w:rsidR="0095051E" w:rsidRPr="004B54EF" w:rsidRDefault="0095051E" w:rsidP="0095051E">
                      <w:pPr>
                        <w:jc w:val="center"/>
                      </w:pPr>
                      <w:r w:rsidRPr="004B54EF">
                        <w:t>"I know that Metro has plans and policies but have limited awareness of overall management of resilience in tourism destinations."</w:t>
                      </w:r>
                    </w:p>
                    <w:p w14:paraId="08366D50" w14:textId="77777777" w:rsidR="0095051E" w:rsidRDefault="0095051E" w:rsidP="0095051E">
                      <w:pPr>
                        <w:jc w:val="center"/>
                      </w:pPr>
                      <w:r w:rsidRPr="004B54EF">
                        <w:t>"Initial measures and efforts though well intended may have a short-term negative impact on tourism."</w:t>
                      </w:r>
                    </w:p>
                  </w:txbxContent>
                </v:textbox>
                <w10:anchorlock/>
              </v:shape>
            </w:pict>
          </mc:Fallback>
        </mc:AlternateContent>
      </w:r>
    </w:p>
    <w:p w14:paraId="7113B216" w14:textId="544D4C18" w:rsidR="0095051E" w:rsidRDefault="0095051E" w:rsidP="0095051E"/>
    <w:p w14:paraId="1BA3F526" w14:textId="4DF90731" w:rsidR="0095051E" w:rsidRDefault="0095051E" w:rsidP="0095051E">
      <w:pPr>
        <w:spacing w:line="278" w:lineRule="auto"/>
      </w:pPr>
      <w:r>
        <w:br w:type="page"/>
      </w:r>
    </w:p>
    <w:p w14:paraId="0BE18FC1" w14:textId="00671A19" w:rsidR="00820ED4" w:rsidRPr="002E45A9" w:rsidRDefault="00820ED4" w:rsidP="00CD21B9">
      <w:pPr>
        <w:pStyle w:val="Heading2"/>
      </w:pPr>
      <w:r>
        <w:lastRenderedPageBreak/>
        <w:t xml:space="preserve">CSF 3 </w:t>
      </w:r>
      <w:r w:rsidR="00142485">
        <w:t xml:space="preserve">— </w:t>
      </w:r>
      <w:r w:rsidR="0011144F">
        <w:t>P</w:t>
      </w:r>
      <w:r w:rsidR="00F91DAE">
        <w:t>reparedness</w:t>
      </w:r>
      <w:r w:rsidR="00142485">
        <w:t xml:space="preserve"> </w:t>
      </w:r>
      <w:r w:rsidR="000B23F0">
        <w:t>and</w:t>
      </w:r>
      <w:r w:rsidR="7F86C102">
        <w:t xml:space="preserve"> </w:t>
      </w:r>
      <w:r w:rsidR="00142485">
        <w:t>R</w:t>
      </w:r>
      <w:r w:rsidR="00F91DAE">
        <w:t xml:space="preserve">esponse </w:t>
      </w:r>
    </w:p>
    <w:p w14:paraId="47F260F0" w14:textId="5EEDEE5A" w:rsidR="009B1D2A" w:rsidRPr="002E45A9" w:rsidRDefault="10164DF3" w:rsidP="009B1D2A">
      <w:r>
        <w:t>This CSF</w:t>
      </w:r>
      <w:r w:rsidR="0C3D2720">
        <w:t xml:space="preserve"> focuses </w:t>
      </w:r>
      <w:r w:rsidR="1CB73DAA">
        <w:t xml:space="preserve">on the </w:t>
      </w:r>
      <w:r w:rsidR="2BFC2089">
        <w:t xml:space="preserve">region’s </w:t>
      </w:r>
      <w:r w:rsidR="1CB73DAA">
        <w:t xml:space="preserve">ability to anticipate, respond to and recover from crises or disasters while maintaining competitiveness. </w:t>
      </w:r>
    </w:p>
    <w:p w14:paraId="22120A32" w14:textId="7264B69D" w:rsidR="14EA4412" w:rsidRDefault="47414F3F" w:rsidP="57D7F1AB">
      <w:pPr>
        <w:pStyle w:val="Heading3"/>
      </w:pPr>
      <w:r>
        <w:t>CSF 3 key findings</w:t>
      </w:r>
    </w:p>
    <w:p w14:paraId="32768E64" w14:textId="6FE9B6EF" w:rsidR="00A325B6" w:rsidRPr="004B1C1D" w:rsidRDefault="00A325B6" w:rsidP="18E55A4C">
      <w:pPr>
        <w:rPr>
          <w:lang w:eastAsia="en-CA"/>
        </w:rPr>
      </w:pPr>
      <w:r w:rsidRPr="18E55A4C">
        <w:rPr>
          <w:lang w:eastAsia="en-CA"/>
        </w:rPr>
        <w:t xml:space="preserve">Los Angeles County </w:t>
      </w:r>
      <w:r w:rsidR="15EF7231" w:rsidRPr="18E55A4C">
        <w:rPr>
          <w:rFonts w:eastAsia="Source Sans Pro Light" w:cs="Source Sans Pro Light"/>
          <w:color w:val="000000" w:themeColor="text1"/>
        </w:rPr>
        <w:t xml:space="preserve">overall rating of 61 out of 100 in crisis response capacity indicates great work already happening with areas for </w:t>
      </w:r>
      <w:r w:rsidR="43A639D8" w:rsidRPr="18E55A4C">
        <w:rPr>
          <w:rFonts w:eastAsia="Source Sans Pro Light" w:cs="Source Sans Pro Light"/>
          <w:color w:val="000000" w:themeColor="text1"/>
        </w:rPr>
        <w:t>improvement</w:t>
      </w:r>
      <w:r w:rsidR="15EF7231" w:rsidRPr="18E55A4C">
        <w:rPr>
          <w:rFonts w:eastAsia="Source Sans Pro Light" w:cs="Source Sans Pro Light"/>
          <w:color w:val="000000" w:themeColor="text1"/>
        </w:rPr>
        <w:t xml:space="preserve">. </w:t>
      </w:r>
      <w:r w:rsidR="303EFB3F" w:rsidRPr="18E55A4C">
        <w:rPr>
          <w:rFonts w:eastAsia="Source Sans Pro Light" w:cs="Source Sans Pro Light"/>
          <w:color w:val="000000" w:themeColor="text1"/>
        </w:rPr>
        <w:t xml:space="preserve">The county </w:t>
      </w:r>
      <w:r w:rsidRPr="18E55A4C">
        <w:rPr>
          <w:lang w:eastAsia="en-CA"/>
        </w:rPr>
        <w:t>demonstrates strong overall capacity for emergency response, reflected in high quantitative scores for infrastructure density (88 out of 100) and emergency healthcare access (95 out of 100).</w:t>
      </w:r>
    </w:p>
    <w:p w14:paraId="2DBFE0B8" w14:textId="2FE2B488" w:rsidR="00A325B6" w:rsidRPr="004B1C1D" w:rsidRDefault="00A325B6" w:rsidP="18E55A4C">
      <w:pPr>
        <w:rPr>
          <w:lang w:eastAsia="en-CA"/>
        </w:rPr>
      </w:pPr>
      <w:r w:rsidRPr="18E55A4C">
        <w:rPr>
          <w:lang w:eastAsia="en-CA"/>
        </w:rPr>
        <w:t xml:space="preserve">However, the </w:t>
      </w:r>
      <w:r w:rsidR="00730185">
        <w:rPr>
          <w:lang w:eastAsia="en-CA"/>
        </w:rPr>
        <w:t>s</w:t>
      </w:r>
      <w:r w:rsidR="00730185" w:rsidRPr="18E55A4C">
        <w:rPr>
          <w:lang w:eastAsia="en-CA"/>
        </w:rPr>
        <w:t xml:space="preserve">corecard </w:t>
      </w:r>
      <w:r w:rsidRPr="18E55A4C">
        <w:rPr>
          <w:lang w:eastAsia="en-CA"/>
        </w:rPr>
        <w:t>also points to gaps in equitable access and implementation, particularly when it comes to specific tourism destinations and infrastructure types. Catalina Island, for instance, was cited by panelists as an area with limited access to funding and preparedness tools, despite being a popular tourist destination.</w:t>
      </w:r>
      <w:r w:rsidR="4C3567FA" w:rsidRPr="18E55A4C">
        <w:rPr>
          <w:lang w:eastAsia="en-CA"/>
        </w:rPr>
        <w:t xml:space="preserve"> </w:t>
      </w:r>
      <w:r w:rsidRPr="18E55A4C">
        <w:rPr>
          <w:lang w:eastAsia="en-CA"/>
        </w:rPr>
        <w:t>One of the most notable operational shortfalls is in emergency shelter capacity, which scored just 23 out of 100. This low score highlights a lack of designated public shelter space relative to the region’s population — and this gap becomes even more critical when considering the influx of non-resident visitors during peak tourism seasons.</w:t>
      </w:r>
    </w:p>
    <w:p w14:paraId="351CACD7" w14:textId="0EA9AD18" w:rsidR="00A325B6" w:rsidRPr="004B1C1D" w:rsidRDefault="00A325B6" w:rsidP="18E55A4C">
      <w:pPr>
        <w:rPr>
          <w:lang w:eastAsia="en-CA"/>
        </w:rPr>
      </w:pPr>
      <w:r w:rsidRPr="18E55A4C">
        <w:rPr>
          <w:lang w:eastAsia="en-CA"/>
        </w:rPr>
        <w:t>Tourism infrastructure — especially hotels and short-term rentals — may be relied upon during disasters when public shelters are overwhelmed or inaccessible. Yet, there are no protocols defining tourism’s role in emergency sheltering. Without formal planning or coordination, the burden of supporting displaced tourists may fall unevenly across lodging providers and local governments</w:t>
      </w:r>
      <w:r w:rsidR="00E10D5C" w:rsidRPr="18E55A4C">
        <w:rPr>
          <w:lang w:eastAsia="en-CA"/>
        </w:rPr>
        <w:t>.</w:t>
      </w:r>
      <w:r w:rsidRPr="18E55A4C">
        <w:rPr>
          <w:lang w:eastAsia="en-CA"/>
        </w:rPr>
        <w:t xml:space="preserve"> Exacerbating this, the county faces challenges in road accessibility (50 out of 100) that could affect evacuation and emergency response efforts.</w:t>
      </w:r>
    </w:p>
    <w:p w14:paraId="281F7E36" w14:textId="49BD8DE2" w:rsidR="00A325B6" w:rsidRPr="004B1C1D" w:rsidRDefault="00A325B6" w:rsidP="18E55A4C">
      <w:pPr>
        <w:rPr>
          <w:lang w:eastAsia="en-CA"/>
        </w:rPr>
      </w:pPr>
      <w:r w:rsidRPr="18E55A4C">
        <w:rPr>
          <w:lang w:eastAsia="en-CA"/>
        </w:rPr>
        <w:t xml:space="preserve">Panelists note that few tourism businesses are currently prepared to serve as emergency shelters and most lack access to regional emergency response plans. This reveals an opportunity for the tourism sector to take proactive steps in disaster preparedness </w:t>
      </w:r>
      <w:r w:rsidR="003F6FA6">
        <w:rPr>
          <w:lang w:eastAsia="en-CA"/>
        </w:rPr>
        <w:t>to ensure</w:t>
      </w:r>
      <w:r w:rsidRPr="18E55A4C">
        <w:rPr>
          <w:lang w:eastAsia="en-CA"/>
        </w:rPr>
        <w:t xml:space="preserve"> continuity of service</w:t>
      </w:r>
      <w:r w:rsidR="003F6FA6">
        <w:rPr>
          <w:lang w:eastAsia="en-CA"/>
        </w:rPr>
        <w:t xml:space="preserve"> as well as</w:t>
      </w:r>
      <w:r w:rsidRPr="18E55A4C">
        <w:rPr>
          <w:lang w:eastAsia="en-CA"/>
        </w:rPr>
        <w:t xml:space="preserve"> visitor safety and to support local emergency management efforts during high-impact events.</w:t>
      </w:r>
    </w:p>
    <w:p w14:paraId="407F2E37" w14:textId="571B5439" w:rsidR="007030D6" w:rsidRDefault="00A325B6" w:rsidP="00E7168A">
      <w:pPr>
        <w:spacing w:after="240"/>
        <w:rPr>
          <w:lang w:val="en-CA" w:eastAsia="en-CA"/>
        </w:rPr>
      </w:pPr>
      <w:r w:rsidRPr="18E55A4C">
        <w:rPr>
          <w:lang w:val="en-CA" w:eastAsia="en-CA"/>
        </w:rPr>
        <w:t xml:space="preserve">Moving forward, Los Angeles County needs to focus on bridging the gap between its strong infrastructure indicators and the on-the-ground implementation of preparedness and recovery measures. Improving coordination between public and private entities, ensuring equitable access to resources across all regions and building trust within diverse communities are crucial steps. </w:t>
      </w:r>
    </w:p>
    <w:p w14:paraId="5F8AE120" w14:textId="6DEB654F" w:rsidR="007030D6" w:rsidRDefault="007030D6" w:rsidP="18E55A4C">
      <w:pPr>
        <w:rPr>
          <w:lang w:val="en-CA" w:eastAsia="en-CA"/>
        </w:rPr>
      </w:pPr>
      <w:r>
        <w:rPr>
          <w:noProof/>
        </w:rPr>
        <w:drawing>
          <wp:inline distT="0" distB="0" distL="0" distR="0" wp14:anchorId="7A9A7BFC" wp14:editId="289E5B68">
            <wp:extent cx="6400800" cy="2206623"/>
            <wp:effectExtent l="0" t="0" r="0" b="3810"/>
            <wp:docPr id="845117410"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17410" name="Picture 8" descr="A screenshot of a computer screen&#10;&#10;AI-generated content may be incorrect."/>
                    <pic:cNvPicPr>
                      <a:picLocks noChangeAspect="1" noChangeArrowheads="1"/>
                    </pic:cNvPicPr>
                  </pic:nvPicPr>
                  <pic:blipFill rotWithShape="1">
                    <a:blip r:embed="rId42">
                      <a:extLst>
                        <a:ext uri="{28A0092B-C50C-407E-A947-70E740481C1C}">
                          <a14:useLocalDpi xmlns:a14="http://schemas.microsoft.com/office/drawing/2010/main" val="0"/>
                        </a:ext>
                      </a:extLst>
                    </a:blip>
                    <a:srcRect r="4345"/>
                    <a:stretch/>
                  </pic:blipFill>
                  <pic:spPr bwMode="auto">
                    <a:xfrm>
                      <a:off x="0" y="0"/>
                      <a:ext cx="6400800" cy="2206623"/>
                    </a:xfrm>
                    <a:prstGeom prst="rect">
                      <a:avLst/>
                    </a:prstGeom>
                    <a:noFill/>
                    <a:ln>
                      <a:noFill/>
                    </a:ln>
                    <a:extLst>
                      <a:ext uri="{53640926-AAD7-44D8-BBD7-CCE9431645EC}">
                        <a14:shadowObscured xmlns:a14="http://schemas.microsoft.com/office/drawing/2010/main"/>
                      </a:ext>
                    </a:extLst>
                  </pic:spPr>
                </pic:pic>
              </a:graphicData>
            </a:graphic>
          </wp:inline>
        </w:drawing>
      </w:r>
    </w:p>
    <w:p w14:paraId="7494B813" w14:textId="65FFC8AF" w:rsidR="00A325B6" w:rsidRPr="0050622D" w:rsidRDefault="00A325B6" w:rsidP="00A325B6">
      <w:pPr>
        <w:pStyle w:val="Heading3"/>
      </w:pPr>
      <w:r>
        <w:lastRenderedPageBreak/>
        <w:t>CSF 3 quantitative rating descriptions</w:t>
      </w:r>
    </w:p>
    <w:p w14:paraId="1744FE9D" w14:textId="129D86AE" w:rsidR="00257746" w:rsidRPr="002B1457" w:rsidRDefault="00257746" w:rsidP="00257746">
      <w:r>
        <w:t xml:space="preserve">CSF 3 considers key </w:t>
      </w:r>
      <w:r w:rsidR="00B801FE">
        <w:t xml:space="preserve">regional </w:t>
      </w:r>
      <w:r>
        <w:t xml:space="preserve">infrastructure </w:t>
      </w:r>
      <w:r w:rsidR="00B801FE">
        <w:t>essential</w:t>
      </w:r>
      <w:r w:rsidR="00752A04">
        <w:t xml:space="preserve"> to responding to an emergency or natural disaster</w:t>
      </w:r>
      <w:r w:rsidR="000647F2">
        <w:t>, a</w:t>
      </w:r>
      <w:r w:rsidR="00971A1B">
        <w:t>s</w:t>
      </w:r>
      <w:r w:rsidR="000647F2">
        <w:t xml:space="preserve"> well </w:t>
      </w:r>
      <w:r w:rsidR="00C723B0">
        <w:t xml:space="preserve">as the region’s preparedness to respond </w:t>
      </w:r>
      <w:r w:rsidR="005D2820">
        <w:t xml:space="preserve">to </w:t>
      </w:r>
      <w:r w:rsidR="00C723B0">
        <w:t xml:space="preserve">and recover from the </w:t>
      </w:r>
      <w:r>
        <w:t xml:space="preserve">priority risks facing the region </w:t>
      </w:r>
      <w:r w:rsidR="00495908">
        <w:t>—</w:t>
      </w:r>
      <w:r>
        <w:t xml:space="preserve"> heatwaves, drought</w:t>
      </w:r>
      <w:r w:rsidR="00C723B0">
        <w:t xml:space="preserve"> and earthquakes</w:t>
      </w:r>
      <w:r w:rsidR="00A3670A">
        <w:t>:</w:t>
      </w:r>
    </w:p>
    <w:p w14:paraId="19D0DF61" w14:textId="3C13A477" w:rsidR="00A3670A" w:rsidRPr="00DF65A8" w:rsidRDefault="00A3670A" w:rsidP="00B0390A">
      <w:pPr>
        <w:pStyle w:val="Heading4"/>
      </w:pPr>
      <w:r w:rsidRPr="002B1457">
        <w:t xml:space="preserve">Road </w:t>
      </w:r>
      <w:r w:rsidR="00DB6C39" w:rsidRPr="002B1457">
        <w:t>accessibility</w:t>
      </w:r>
    </w:p>
    <w:p w14:paraId="6A0D9355" w14:textId="68DC10AF" w:rsidR="00026EF4" w:rsidRPr="00DF65A8" w:rsidRDefault="0013641B" w:rsidP="00B0390A">
      <w:pPr>
        <w:ind w:left="360"/>
        <w:rPr>
          <w:lang w:val="en-CA"/>
        </w:rPr>
      </w:pPr>
      <w:r>
        <w:t>Utilizes</w:t>
      </w:r>
      <w:r w:rsidR="00026EF4" w:rsidRPr="009B7A74">
        <w:rPr>
          <w:lang w:val="en-CA"/>
        </w:rPr>
        <w:t xml:space="preserve"> </w:t>
      </w:r>
      <w:proofErr w:type="spellStart"/>
      <w:r w:rsidRPr="009B7A74">
        <w:rPr>
          <w:lang w:val="en-CA"/>
        </w:rPr>
        <w:t>Risklayer</w:t>
      </w:r>
      <w:proofErr w:type="spellEnd"/>
      <w:r w:rsidRPr="009B7A74">
        <w:rPr>
          <w:lang w:val="en-CA"/>
        </w:rPr>
        <w:t xml:space="preserve"> analysis</w:t>
      </w:r>
      <w:r>
        <w:rPr>
          <w:lang w:val="en-CA"/>
        </w:rPr>
        <w:t xml:space="preserve"> to assess</w:t>
      </w:r>
      <w:r w:rsidRPr="009B7A74">
        <w:rPr>
          <w:lang w:val="en-CA"/>
        </w:rPr>
        <w:t xml:space="preserve"> </w:t>
      </w:r>
      <w:r w:rsidR="00026EF4" w:rsidRPr="009B7A74">
        <w:rPr>
          <w:lang w:val="en-CA"/>
        </w:rPr>
        <w:t>road accessibility in terms of proximity to airports, road condition and connectivity.</w:t>
      </w:r>
    </w:p>
    <w:p w14:paraId="02915E32" w14:textId="0B6108A4" w:rsidR="00A3670A" w:rsidRPr="00DF65A8" w:rsidRDefault="00A3670A" w:rsidP="00011BF5">
      <w:pPr>
        <w:pStyle w:val="Heading4"/>
        <w:spacing w:before="0" w:after="0"/>
      </w:pPr>
      <w:r>
        <w:t xml:space="preserve">Emergency </w:t>
      </w:r>
      <w:r w:rsidR="00DB6C39">
        <w:t>shelter</w:t>
      </w:r>
      <w:r w:rsidR="2337E3B1">
        <w:t xml:space="preserve"> availability</w:t>
      </w:r>
    </w:p>
    <w:p w14:paraId="510C017E" w14:textId="72192D56" w:rsidR="007A1BD3" w:rsidRDefault="3F2DD1ED" w:rsidP="177858A2">
      <w:pPr>
        <w:ind w:left="360"/>
        <w:rPr>
          <w:i/>
          <w:iCs/>
        </w:rPr>
      </w:pPr>
      <w:r>
        <w:t>Calculates the number of emergency shelters per 10,000 residents</w:t>
      </w:r>
      <w:r w:rsidR="6739E7A7">
        <w:t>; p</w:t>
      </w:r>
      <w:r>
        <w:t>rovides a quantitative measure of shelter accessibility in case of emergencies.</w:t>
      </w:r>
    </w:p>
    <w:p w14:paraId="5E9BC615" w14:textId="53351DE4" w:rsidR="00A3670A" w:rsidRPr="00DF65A8" w:rsidRDefault="00A3670A" w:rsidP="00A3670A">
      <w:pPr>
        <w:pStyle w:val="Heading4"/>
      </w:pPr>
      <w:r>
        <w:t xml:space="preserve">Emergency </w:t>
      </w:r>
      <w:r w:rsidR="00DB6C39">
        <w:t>healthcare</w:t>
      </w:r>
      <w:r w:rsidR="02E8877B">
        <w:t xml:space="preserve"> availability </w:t>
      </w:r>
    </w:p>
    <w:p w14:paraId="7A971AD3" w14:textId="176498A5" w:rsidR="007A1BD3" w:rsidRDefault="3F2DD1ED" w:rsidP="177858A2">
      <w:pPr>
        <w:ind w:left="360"/>
        <w:rPr>
          <w:i/>
          <w:iCs/>
        </w:rPr>
      </w:pPr>
      <w:r>
        <w:t>Measures the number of hospitals per 10,000 residents</w:t>
      </w:r>
      <w:r w:rsidR="6739E7A7">
        <w:t>; i</w:t>
      </w:r>
      <w:r>
        <w:t>ndicates the level of emergency medical care accessibility in the region</w:t>
      </w:r>
      <w:r w:rsidR="097FD3AE">
        <w:t>.</w:t>
      </w:r>
      <w:r>
        <w:t xml:space="preserve"> </w:t>
      </w:r>
    </w:p>
    <w:p w14:paraId="1FBB6D87" w14:textId="56B7143D" w:rsidR="00A3670A" w:rsidRPr="00DF65A8" w:rsidRDefault="00A3670A" w:rsidP="00A3670A">
      <w:pPr>
        <w:pStyle w:val="Heading4"/>
      </w:pPr>
      <w:r>
        <w:t xml:space="preserve">Infrastructure </w:t>
      </w:r>
      <w:r w:rsidR="00DB6C39">
        <w:t>density index</w:t>
      </w:r>
    </w:p>
    <w:p w14:paraId="14AC9019" w14:textId="6330F134" w:rsidR="00F54FD9" w:rsidRDefault="40416ED7" w:rsidP="177858A2">
      <w:pPr>
        <w:ind w:left="360"/>
        <w:rPr>
          <w:i/>
          <w:iCs/>
        </w:rPr>
      </w:pPr>
      <w:r>
        <w:t>Evaluates infrastructure density based on the length of electric transmission lines per region</w:t>
      </w:r>
      <w:r w:rsidR="79732098">
        <w:t>, serving</w:t>
      </w:r>
      <w:r>
        <w:t xml:space="preserve"> as a proxy for urbanization and overall infrastructure development</w:t>
      </w:r>
      <w:r w:rsidR="097FD3AE">
        <w:t>.</w:t>
      </w:r>
    </w:p>
    <w:p w14:paraId="2DB2D5BC" w14:textId="29BC6087" w:rsidR="00A3670A" w:rsidRPr="005E2419" w:rsidRDefault="00C214ED" w:rsidP="00C214ED">
      <w:pPr>
        <w:pStyle w:val="Heading4"/>
      </w:pPr>
      <w:r>
        <w:t xml:space="preserve">Emergency </w:t>
      </w:r>
      <w:r w:rsidR="00DB6C39">
        <w:t xml:space="preserve">preparedness </w:t>
      </w:r>
      <w:r>
        <w:t xml:space="preserve">and </w:t>
      </w:r>
      <w:r w:rsidR="00DB6C39">
        <w:t xml:space="preserve">response </w:t>
      </w:r>
      <w:r w:rsidR="169E1F1B">
        <w:t>plan</w:t>
      </w:r>
      <w:r w:rsidR="5C0934B1">
        <w:t>ning</w:t>
      </w:r>
    </w:p>
    <w:p w14:paraId="3B70C900" w14:textId="7E68AFB1" w:rsidR="00FB26D6" w:rsidRPr="00FA5D39" w:rsidRDefault="3DD00A80" w:rsidP="00BC7C42">
      <w:pPr>
        <w:ind w:left="360"/>
        <w:rPr>
          <w:lang w:val="en-CA"/>
        </w:rPr>
      </w:pPr>
      <w:r w:rsidRPr="53375988">
        <w:rPr>
          <w:lang w:val="en-CA"/>
        </w:rPr>
        <w:t xml:space="preserve">Employs a desktop review of emergency preparedness </w:t>
      </w:r>
      <w:r w:rsidR="7B9AA98E" w:rsidRPr="53375988">
        <w:rPr>
          <w:lang w:val="en-CA"/>
        </w:rPr>
        <w:t>plans such</w:t>
      </w:r>
      <w:r w:rsidRPr="53375988">
        <w:rPr>
          <w:lang w:val="en-CA"/>
        </w:rPr>
        <w:t xml:space="preserve"> as Emergency Operations Plans (EOPs) of counties or local government and evaluates quality and detail of key components such as clearly defined roles and responsibilities, coordination mechanisms, communication protocols including public warning systems, evacuation and sheltering strategies, resource allocation processes</w:t>
      </w:r>
      <w:r w:rsidR="5DAC9099" w:rsidRPr="53375988">
        <w:rPr>
          <w:lang w:val="en-CA"/>
        </w:rPr>
        <w:t xml:space="preserve"> and</w:t>
      </w:r>
      <w:r w:rsidRPr="53375988">
        <w:rPr>
          <w:lang w:val="en-CA"/>
        </w:rPr>
        <w:t xml:space="preserve"> established cooperation agreements.</w:t>
      </w:r>
      <w:r w:rsidR="00132D76" w:rsidRPr="53375988">
        <w:rPr>
          <w:lang w:val="en-CA"/>
        </w:rPr>
        <w:t xml:space="preserve"> </w:t>
      </w:r>
      <w:proofErr w:type="spellStart"/>
      <w:r w:rsidRPr="53375988">
        <w:rPr>
          <w:lang w:val="en-CA"/>
        </w:rPr>
        <w:t>Risklayer</w:t>
      </w:r>
      <w:proofErr w:type="spellEnd"/>
      <w:r w:rsidRPr="53375988">
        <w:rPr>
          <w:lang w:val="en-CA"/>
        </w:rPr>
        <w:t xml:space="preserve"> analysis of emergency preparedness based on accessibility, proximity to emergency facilities and transportation network conditions to provide a comprehensive view of readiness for potential crises. </w:t>
      </w:r>
    </w:p>
    <w:p w14:paraId="2A4E6DDF" w14:textId="6DE1B980" w:rsidR="00112150" w:rsidRPr="002E45A9" w:rsidRDefault="009B5FA4" w:rsidP="00310AA6">
      <w:pPr>
        <w:pStyle w:val="Heading3"/>
      </w:pPr>
      <w:r>
        <w:t>CSF 3 q</w:t>
      </w:r>
      <w:r w:rsidRPr="002E45A9">
        <w:t xml:space="preserve">ualitative </w:t>
      </w:r>
      <w:r w:rsidR="003E687E">
        <w:t>r</w:t>
      </w:r>
      <w:r w:rsidR="003E687E" w:rsidRPr="002E45A9">
        <w:t xml:space="preserve">atings </w:t>
      </w:r>
      <w:r w:rsidR="00112150" w:rsidRPr="002E45A9">
        <w:t xml:space="preserve">and </w:t>
      </w:r>
      <w:r w:rsidR="003E687E">
        <w:t>findings</w:t>
      </w:r>
    </w:p>
    <w:p w14:paraId="7AD0C3BE" w14:textId="4F4A4F5F" w:rsidR="006550A7" w:rsidRPr="002E45A9" w:rsidRDefault="006550A7" w:rsidP="006550A7">
      <w:r w:rsidRPr="002E45A9">
        <w:t xml:space="preserve">Qualitatively, the panelists assessed the region’s performance on CSF 3 across the following </w:t>
      </w:r>
      <w:r w:rsidR="00F05E93">
        <w:t xml:space="preserve">performance </w:t>
      </w:r>
      <w:r w:rsidRPr="002E45A9">
        <w:t>criteria:</w:t>
      </w:r>
    </w:p>
    <w:p w14:paraId="07DC9654" w14:textId="25A59B78" w:rsidR="006550A7" w:rsidRPr="002E45A9" w:rsidRDefault="00B50F6A" w:rsidP="00570C80">
      <w:pPr>
        <w:pStyle w:val="Heading4"/>
      </w:pPr>
      <w:r>
        <w:t>D</w:t>
      </w:r>
      <w:r w:rsidR="00DB6C39">
        <w:t xml:space="preserve">isaster preparedness </w:t>
      </w:r>
      <w:r w:rsidR="006550A7">
        <w:t xml:space="preserve">and </w:t>
      </w:r>
      <w:r w:rsidR="00DB6C39">
        <w:t>response</w:t>
      </w:r>
    </w:p>
    <w:p w14:paraId="1C69E02F" w14:textId="08D05BF9" w:rsidR="009B1D2A" w:rsidRPr="002E45A9" w:rsidRDefault="009B1D2A" w:rsidP="00011BF5">
      <w:pPr>
        <w:ind w:left="360"/>
      </w:pPr>
      <w:r>
        <w:t xml:space="preserve">Assesses </w:t>
      </w:r>
      <w:r w:rsidR="00C25BFA" w:rsidRPr="1D4EFCFD">
        <w:rPr>
          <w:lang w:val="en-CA"/>
        </w:rPr>
        <w:t xml:space="preserve">panelists’ perceptions of </w:t>
      </w:r>
      <w:r>
        <w:t xml:space="preserve">the involvement of tourism stakeholders in decision-making during and after disasters to </w:t>
      </w:r>
      <w:r w:rsidR="00B13347">
        <w:t>minimize disruptions and losses and</w:t>
      </w:r>
      <w:r w:rsidR="00E2269F">
        <w:t>,</w:t>
      </w:r>
      <w:r w:rsidR="00B13347">
        <w:t xml:space="preserve"> as a result, maintain competitiveness of the tourism </w:t>
      </w:r>
      <w:r>
        <w:t>destination.</w:t>
      </w:r>
    </w:p>
    <w:p w14:paraId="27C86573" w14:textId="5FD53632" w:rsidR="006550A7" w:rsidRPr="002E45A9" w:rsidRDefault="006550A7" w:rsidP="00570C80">
      <w:pPr>
        <w:pStyle w:val="Heading4"/>
      </w:pPr>
      <w:r>
        <w:t>Public</w:t>
      </w:r>
      <w:r w:rsidR="00B50F6A">
        <w:t>-</w:t>
      </w:r>
      <w:r w:rsidR="00DB6C39">
        <w:t xml:space="preserve">private partnerships </w:t>
      </w:r>
    </w:p>
    <w:p w14:paraId="6A9D41ED" w14:textId="27A28466" w:rsidR="009B1D2A" w:rsidRPr="002E45A9" w:rsidRDefault="009B1D2A" w:rsidP="00011BF5">
      <w:pPr>
        <w:ind w:left="360"/>
      </w:pPr>
      <w:r w:rsidRPr="002E45A9">
        <w:t xml:space="preserve">Examines </w:t>
      </w:r>
      <w:r w:rsidR="00D76AF7">
        <w:t>panelists</w:t>
      </w:r>
      <w:r w:rsidR="009860DA">
        <w:t>’</w:t>
      </w:r>
      <w:r w:rsidR="00D76AF7">
        <w:t xml:space="preserve"> awareness </w:t>
      </w:r>
      <w:r w:rsidRPr="002E45A9">
        <w:t>of agreements and policies that mobilize public and private resources to enhance preparedness</w:t>
      </w:r>
      <w:r w:rsidR="00D76AF7">
        <w:t xml:space="preserve"> of the tourism sector</w:t>
      </w:r>
      <w:r w:rsidRPr="002E45A9">
        <w:t>, such as disaster communication, emergency services and shelter management.</w:t>
      </w:r>
    </w:p>
    <w:p w14:paraId="447E9904" w14:textId="6E9B9AF4" w:rsidR="006550A7" w:rsidRPr="002E45A9" w:rsidRDefault="006550A7" w:rsidP="00570C80">
      <w:pPr>
        <w:pStyle w:val="Heading4"/>
      </w:pPr>
      <w:r w:rsidRPr="002E45A9">
        <w:lastRenderedPageBreak/>
        <w:t xml:space="preserve">Preparedness and </w:t>
      </w:r>
      <w:r w:rsidR="00DB6C39">
        <w:t>m</w:t>
      </w:r>
      <w:r w:rsidR="00DB6C39" w:rsidRPr="002E45A9">
        <w:t xml:space="preserve">itigation </w:t>
      </w:r>
    </w:p>
    <w:p w14:paraId="06182D19" w14:textId="5A703A2A" w:rsidR="009B1D2A" w:rsidRPr="002E45A9" w:rsidRDefault="008E36B3" w:rsidP="00011BF5">
      <w:pPr>
        <w:ind w:left="360"/>
      </w:pPr>
      <w:r>
        <w:t xml:space="preserve">Reviews </w:t>
      </w:r>
      <w:r w:rsidR="00C25BFA" w:rsidRPr="1D4EFCFD">
        <w:rPr>
          <w:lang w:val="en-CA"/>
        </w:rPr>
        <w:t xml:space="preserve">panelists’ perceptions of </w:t>
      </w:r>
      <w:r>
        <w:t>t</w:t>
      </w:r>
      <w:r w:rsidR="00F45D8D">
        <w:t>he</w:t>
      </w:r>
      <w:r w:rsidR="0056406E">
        <w:t xml:space="preserve"> availability</w:t>
      </w:r>
      <w:r w:rsidR="009B1D2A">
        <w:t xml:space="preserve"> </w:t>
      </w:r>
      <w:r w:rsidR="00F45D8D">
        <w:t xml:space="preserve">of </w:t>
      </w:r>
      <w:r w:rsidR="009B1D2A">
        <w:t xml:space="preserve">early warning </w:t>
      </w:r>
      <w:r w:rsidR="00F45D8D">
        <w:t>systems</w:t>
      </w:r>
      <w:r w:rsidR="009B1D2A">
        <w:t>, post-disaster shelter plans, contingency plans of key service providers and strategies to mitigate reputational risks through marketing and communication.</w:t>
      </w:r>
    </w:p>
    <w:p w14:paraId="1A948DA7" w14:textId="49A7EEFE" w:rsidR="006550A7" w:rsidRPr="002E45A9" w:rsidRDefault="006550A7" w:rsidP="00B0390A">
      <w:pPr>
        <w:pStyle w:val="Heading4"/>
      </w:pPr>
      <w:r w:rsidRPr="002E45A9">
        <w:t xml:space="preserve">Response and </w:t>
      </w:r>
      <w:r w:rsidR="00DB6C39">
        <w:t>r</w:t>
      </w:r>
      <w:r w:rsidR="00DB6C39" w:rsidRPr="002E45A9">
        <w:t xml:space="preserve">ecovery </w:t>
      </w:r>
      <w:r w:rsidR="00DB6C39">
        <w:t>measures</w:t>
      </w:r>
    </w:p>
    <w:p w14:paraId="652E1083" w14:textId="4AAF01CE" w:rsidR="009B1D2A" w:rsidRPr="002E45A9" w:rsidRDefault="009B1D2A" w:rsidP="0066291A">
      <w:pPr>
        <w:ind w:left="360"/>
      </w:pPr>
      <w:r>
        <w:t xml:space="preserve">Evaluates </w:t>
      </w:r>
      <w:r w:rsidR="00C25BFA" w:rsidRPr="1D4EFCFD">
        <w:rPr>
          <w:lang w:val="en-CA"/>
        </w:rPr>
        <w:t xml:space="preserve">panelists’ perceptions of </w:t>
      </w:r>
      <w:r>
        <w:t>the effectiveness of recovery tools</w:t>
      </w:r>
      <w:r w:rsidR="005F768C">
        <w:t>,</w:t>
      </w:r>
      <w:r>
        <w:t xml:space="preserve"> such as </w:t>
      </w:r>
      <w:r w:rsidR="005F768C">
        <w:t xml:space="preserve">government </w:t>
      </w:r>
      <w:r>
        <w:t xml:space="preserve">stimulus packages, targeted support for vulnerable groups and the advocacy skills of tourism leaders </w:t>
      </w:r>
      <w:r w:rsidR="0072734F">
        <w:t xml:space="preserve">in the region </w:t>
      </w:r>
      <w:r>
        <w:t xml:space="preserve">to secure </w:t>
      </w:r>
      <w:r w:rsidR="0072734F">
        <w:t xml:space="preserve">government </w:t>
      </w:r>
      <w:r>
        <w:t>resources.</w:t>
      </w:r>
    </w:p>
    <w:p w14:paraId="61E7DBCF" w14:textId="0C41FBFE" w:rsidR="00E24CF7" w:rsidRPr="0050622D" w:rsidRDefault="00E24CF7" w:rsidP="00E24CF7">
      <w:r>
        <w:t>The four individual performance criteria and the subsequent findings are shown in Table 3 below:</w:t>
      </w:r>
    </w:p>
    <w:p w14:paraId="16E88AE3" w14:textId="77777777" w:rsidR="00E24CF7" w:rsidRPr="0050622D" w:rsidRDefault="00E24CF7" w:rsidP="00E24CF7">
      <w:pPr>
        <w:rPr>
          <w:b/>
          <w:bCs/>
          <w:i/>
          <w:iCs/>
        </w:rPr>
      </w:pPr>
      <w:r w:rsidRPr="0050622D">
        <w:rPr>
          <w:b/>
          <w:bCs/>
          <w:i/>
          <w:iCs/>
        </w:rPr>
        <w:t>Table 3. CSF 3 qualitative performance criteria ratings</w:t>
      </w:r>
    </w:p>
    <w:tbl>
      <w:tblPr>
        <w:tblW w:w="5000" w:type="pct"/>
        <w:tblCellMar>
          <w:left w:w="0" w:type="dxa"/>
          <w:right w:w="0" w:type="dxa"/>
        </w:tblCellMar>
        <w:tblLook w:val="0420" w:firstRow="1" w:lastRow="0" w:firstColumn="0" w:lastColumn="0" w:noHBand="0" w:noVBand="1"/>
      </w:tblPr>
      <w:tblGrid>
        <w:gridCol w:w="1476"/>
        <w:gridCol w:w="1116"/>
        <w:gridCol w:w="7468"/>
      </w:tblGrid>
      <w:tr w:rsidR="00E24CF7" w:rsidRPr="0050622D" w14:paraId="0685CFAC" w14:textId="77777777" w:rsidTr="18E55A4C">
        <w:trPr>
          <w:trHeight w:val="701"/>
        </w:trPr>
        <w:tc>
          <w:tcPr>
            <w:tcW w:w="71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224F583" w14:textId="77777777" w:rsidR="00E24CF7" w:rsidRPr="00C90640" w:rsidRDefault="00E24CF7" w:rsidP="00353979">
            <w:pPr>
              <w:jc w:val="center"/>
              <w:rPr>
                <w:color w:val="FFFFFF" w:themeColor="background1"/>
                <w:lang w:val="en-CA"/>
              </w:rPr>
            </w:pPr>
            <w:r w:rsidRPr="00C90640">
              <w:rPr>
                <w:b/>
                <w:bCs/>
                <w:color w:val="FFFFFF" w:themeColor="background1"/>
              </w:rPr>
              <w:t>Performance criteria</w:t>
            </w:r>
          </w:p>
        </w:tc>
        <w:tc>
          <w:tcPr>
            <w:tcW w:w="56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0EEB94A2" w14:textId="77777777" w:rsidR="00E24CF7" w:rsidRPr="00C90640" w:rsidRDefault="00E24CF7" w:rsidP="00353979">
            <w:pPr>
              <w:jc w:val="center"/>
              <w:rPr>
                <w:color w:val="FFFFFF" w:themeColor="background1"/>
                <w:lang w:val="en-CA"/>
              </w:rPr>
            </w:pPr>
            <w:r w:rsidRPr="00C90640">
              <w:rPr>
                <w:b/>
                <w:bCs/>
                <w:color w:val="FFFFFF" w:themeColor="background1"/>
              </w:rPr>
              <w:t>Rating</w:t>
            </w:r>
          </w:p>
        </w:tc>
        <w:tc>
          <w:tcPr>
            <w:tcW w:w="3724"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EB1D002" w14:textId="77777777" w:rsidR="00E24CF7" w:rsidRPr="00C90640" w:rsidRDefault="00E24CF7" w:rsidP="00353979">
            <w:pPr>
              <w:jc w:val="center"/>
              <w:rPr>
                <w:color w:val="FFFFFF" w:themeColor="background1"/>
                <w:lang w:val="en-CA"/>
              </w:rPr>
            </w:pPr>
            <w:r w:rsidRPr="00C90640">
              <w:rPr>
                <w:b/>
                <w:bCs/>
                <w:color w:val="FFFFFF" w:themeColor="background1"/>
              </w:rPr>
              <w:t>Findings</w:t>
            </w:r>
          </w:p>
        </w:tc>
      </w:tr>
      <w:tr w:rsidR="00E24CF7" w:rsidRPr="0050622D" w14:paraId="25A52719" w14:textId="77777777" w:rsidTr="00C90640">
        <w:trPr>
          <w:trHeight w:val="885"/>
        </w:trPr>
        <w:tc>
          <w:tcPr>
            <w:tcW w:w="71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67C9F2C" w14:textId="77777777" w:rsidR="00E24CF7" w:rsidRPr="0050622D" w:rsidRDefault="00E24CF7" w:rsidP="00353979">
            <w:pPr>
              <w:jc w:val="center"/>
              <w:rPr>
                <w:b/>
                <w:bCs/>
                <w:lang w:val="en-CA"/>
              </w:rPr>
            </w:pPr>
            <w:r w:rsidRPr="0050622D">
              <w:rPr>
                <w:b/>
                <w:bCs/>
              </w:rPr>
              <w:t>Disaster preparedness and response</w:t>
            </w:r>
          </w:p>
        </w:tc>
        <w:tc>
          <w:tcPr>
            <w:tcW w:w="566"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05F342D7" w14:textId="77777777" w:rsidR="00E24CF7" w:rsidRPr="0050622D" w:rsidRDefault="00E24CF7" w:rsidP="00353979">
            <w:pPr>
              <w:jc w:val="center"/>
              <w:rPr>
                <w:lang w:val="en-CA"/>
              </w:rPr>
            </w:pPr>
            <w:r w:rsidRPr="0050622D">
              <w:rPr>
                <w:lang w:val="en-CA"/>
              </w:rPr>
              <w:t>4</w:t>
            </w:r>
          </w:p>
        </w:tc>
        <w:tc>
          <w:tcPr>
            <w:tcW w:w="3724"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6057DC23" w14:textId="7093429E" w:rsidR="00E24CF7" w:rsidRPr="0050622D" w:rsidRDefault="2657A132" w:rsidP="00353979">
            <w:r>
              <w:t>Most</w:t>
            </w:r>
            <w:r w:rsidR="00E24CF7">
              <w:t xml:space="preserve"> panelists indicate tourism stakeholders are involved in collaborative decision-making, working closely with authorities to share expertise and contribute to disaster response strategies. </w:t>
            </w:r>
          </w:p>
        </w:tc>
      </w:tr>
      <w:tr w:rsidR="00E24CF7" w:rsidRPr="0050622D" w14:paraId="5945FDCF" w14:textId="77777777" w:rsidTr="00C90640">
        <w:trPr>
          <w:trHeight w:val="655"/>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4BD9B1A3" w14:textId="77777777" w:rsidR="00E24CF7" w:rsidRPr="0050622D" w:rsidRDefault="00E24CF7" w:rsidP="00353979">
            <w:pPr>
              <w:jc w:val="center"/>
              <w:rPr>
                <w:b/>
                <w:bCs/>
                <w:lang w:val="en-CA"/>
              </w:rPr>
            </w:pPr>
            <w:r w:rsidRPr="0050622D">
              <w:rPr>
                <w:b/>
                <w:bCs/>
              </w:rPr>
              <w:t>Public-private partnerships</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7980A5F5" w14:textId="77777777" w:rsidR="00E24CF7" w:rsidRPr="0050622D" w:rsidRDefault="00E24CF7" w:rsidP="00353979">
            <w:pPr>
              <w:jc w:val="center"/>
              <w:rPr>
                <w:lang w:val="en-CA"/>
              </w:rPr>
            </w:pPr>
            <w:r w:rsidRPr="0050622D">
              <w:rPr>
                <w:lang w:val="en-CA"/>
              </w:rPr>
              <w:t>3</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576BAFD9" w14:textId="6602B9AE" w:rsidR="00E24CF7" w:rsidRPr="0050622D" w:rsidRDefault="58E2DB5D" w:rsidP="00353979">
            <w:r>
              <w:t>Most</w:t>
            </w:r>
            <w:r w:rsidR="00E24CF7">
              <w:t xml:space="preserve"> </w:t>
            </w:r>
            <w:r w:rsidR="00500A50">
              <w:t xml:space="preserve">panelists note </w:t>
            </w:r>
            <w:r w:rsidR="00E24CF7">
              <w:t xml:space="preserve">awareness of agreements, policies, or procedures available to enhance the tourism sector's preparedness for various risks, although with potential gaps in coverage. </w:t>
            </w:r>
          </w:p>
        </w:tc>
      </w:tr>
      <w:tr w:rsidR="00E24CF7" w:rsidRPr="0050622D" w14:paraId="03F5F9C6" w14:textId="77777777" w:rsidTr="18E55A4C">
        <w:trPr>
          <w:trHeight w:val="1296"/>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6D26D034" w14:textId="77777777" w:rsidR="00E24CF7" w:rsidRPr="0050622D" w:rsidRDefault="00E24CF7" w:rsidP="00353979">
            <w:pPr>
              <w:jc w:val="center"/>
              <w:rPr>
                <w:b/>
                <w:bCs/>
                <w:lang w:val="en-CA"/>
              </w:rPr>
            </w:pPr>
            <w:r w:rsidRPr="0050622D">
              <w:rPr>
                <w:b/>
                <w:bCs/>
              </w:rPr>
              <w:t>Preparedness and mitigation</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050E4B36" w14:textId="77777777" w:rsidR="00E24CF7" w:rsidRPr="0050622D" w:rsidRDefault="00E24CF7" w:rsidP="00353979">
            <w:pPr>
              <w:jc w:val="center"/>
              <w:rPr>
                <w:lang w:val="en-CA"/>
              </w:rPr>
            </w:pPr>
            <w:r w:rsidRPr="0050622D">
              <w:t>3.3</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106814E3" w14:textId="69CC5B0A" w:rsidR="00E24CF7" w:rsidRPr="0050622D" w:rsidRDefault="00E24CF7" w:rsidP="00353979">
            <w:r w:rsidRPr="0050622D">
              <w:t>The overall preparedness and mitigation measures are moderately implemented</w:t>
            </w:r>
            <w:r w:rsidR="00500A50">
              <w:t>, according to panelists</w:t>
            </w:r>
            <w:r w:rsidRPr="0050622D">
              <w:t xml:space="preserve">. Early warning systems are partially visible to visitors, while contingency plans for post-disaster shelters show effective coordination with the accommodation sector. Critical infrastructure contingency plans display partial integration with tourism needs. </w:t>
            </w:r>
          </w:p>
        </w:tc>
      </w:tr>
      <w:tr w:rsidR="00E24CF7" w:rsidRPr="0050622D" w14:paraId="22EC8FC1" w14:textId="77777777" w:rsidTr="18E55A4C">
        <w:trPr>
          <w:trHeight w:val="1296"/>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0E7BC1FA" w14:textId="77777777" w:rsidR="00E24CF7" w:rsidRPr="0050622D" w:rsidRDefault="00E24CF7" w:rsidP="00353979">
            <w:pPr>
              <w:jc w:val="center"/>
              <w:rPr>
                <w:b/>
                <w:bCs/>
                <w:lang w:val="en-CA"/>
              </w:rPr>
            </w:pPr>
            <w:r w:rsidRPr="0050622D">
              <w:rPr>
                <w:b/>
                <w:bCs/>
              </w:rPr>
              <w:t>Response and recovery measures</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3CCD4B45" w14:textId="77777777" w:rsidR="00E24CF7" w:rsidRPr="0050622D" w:rsidRDefault="00E24CF7" w:rsidP="00353979">
            <w:pPr>
              <w:jc w:val="center"/>
              <w:rPr>
                <w:lang w:val="en-CA"/>
              </w:rPr>
            </w:pPr>
            <w:r w:rsidRPr="0050622D">
              <w:rPr>
                <w:lang w:val="en-CA"/>
              </w:rPr>
              <w:t>3.3</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2ACD596E" w14:textId="5A692652" w:rsidR="00E24CF7" w:rsidRPr="0050622D" w:rsidRDefault="00EE624C" w:rsidP="00353979">
            <w:r>
              <w:t>Panelists report that s</w:t>
            </w:r>
            <w:r w:rsidR="00E24CF7">
              <w:t xml:space="preserve">timulus packages for tourism recovery range from </w:t>
            </w:r>
            <w:r>
              <w:t xml:space="preserve">having limited </w:t>
            </w:r>
            <w:r w:rsidR="00E24CF7">
              <w:t xml:space="preserve">to notable effect. Targeted support programs for vulnerable groups in the tourism industry show partial to high effectiveness. Tourism leaders' knowledge and advocacy for emergency preparedness resources, policies and programs span from moderate to expert </w:t>
            </w:r>
            <w:r w:rsidR="00DD4C70">
              <w:t>proficiency</w:t>
            </w:r>
            <w:r w:rsidR="00E24CF7">
              <w:t>.</w:t>
            </w:r>
          </w:p>
        </w:tc>
      </w:tr>
    </w:tbl>
    <w:p w14:paraId="68539AD4" w14:textId="77777777" w:rsidR="00E24CF7" w:rsidRPr="0050622D" w:rsidRDefault="00E24CF7" w:rsidP="00E24CF7">
      <w:pPr>
        <w:rPr>
          <w:b/>
          <w:bCs/>
          <w:i/>
          <w:iCs/>
        </w:rPr>
      </w:pPr>
    </w:p>
    <w:p w14:paraId="5C3173B1" w14:textId="03A60D41" w:rsidR="00E24CF7" w:rsidRDefault="00E24CF7" w:rsidP="00E7168A">
      <w:pPr>
        <w:jc w:val="center"/>
        <w:rPr>
          <w:rFonts w:eastAsia="Source Sans Pro Light" w:cs="Source Sans Pro Light"/>
          <w:i/>
          <w:iCs/>
          <w:color w:val="000000" w:themeColor="text1"/>
        </w:rPr>
      </w:pPr>
      <w:r>
        <w:rPr>
          <w:noProof/>
        </w:rPr>
        <mc:AlternateContent>
          <mc:Choice Requires="wps">
            <w:drawing>
              <wp:inline distT="45720" distB="45720" distL="114300" distR="114300" wp14:anchorId="3BC27A58" wp14:editId="0829F8FE">
                <wp:extent cx="5029200" cy="1404620"/>
                <wp:effectExtent l="25400" t="25400" r="38100" b="32385"/>
                <wp:docPr id="83250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4129085E" w14:textId="38D13708" w:rsidR="00E24CF7" w:rsidRPr="00C2145C" w:rsidRDefault="00E24CF7" w:rsidP="00E24CF7">
                            <w:pPr>
                              <w:jc w:val="center"/>
                            </w:pPr>
                            <w:r w:rsidRPr="00C2145C">
                              <w:t>"Very difficult to find implementation on a county-wide level. Easier to find for cities.</w:t>
                            </w:r>
                            <w:r w:rsidR="005A284E">
                              <w:t>”</w:t>
                            </w:r>
                          </w:p>
                          <w:p w14:paraId="5E32E77F" w14:textId="77777777" w:rsidR="00E24CF7" w:rsidRDefault="00E24CF7" w:rsidP="00E24CF7">
                            <w:pPr>
                              <w:jc w:val="center"/>
                            </w:pPr>
                            <w:r w:rsidRPr="00C2145C">
                              <w:t>"These partnerships, preparedness and mitigation measures may exist in cities but not county-wide."</w:t>
                            </w:r>
                          </w:p>
                        </w:txbxContent>
                      </wps:txbx>
                      <wps:bodyPr rot="0" vert="horz" wrap="square" lIns="91440" tIns="45720" rIns="91440" bIns="45720" anchor="t" anchorCtr="0">
                        <a:spAutoFit/>
                      </wps:bodyPr>
                    </wps:wsp>
                  </a:graphicData>
                </a:graphic>
              </wp:inline>
            </w:drawing>
          </mc:Choice>
          <mc:Fallback>
            <w:pict>
              <v:shape w14:anchorId="3BC27A58" id="_x0000_s1029" type="#_x0000_t202" style="width:3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" strokeweight="4.5pt">
                <v:stroke linestyle="thickThin"/>
                <v:textbox style="mso-fit-shape-to-text:t">
                  <w:txbxContent>
                    <w:p w14:paraId="4129085E" w14:textId="38D13708" w:rsidR="00E24CF7" w:rsidRPr="00C2145C" w:rsidRDefault="00E24CF7" w:rsidP="00E24CF7">
                      <w:pPr>
                        <w:jc w:val="center"/>
                      </w:pPr>
                      <w:r w:rsidRPr="00C2145C">
                        <w:t>"Very difficult to find implementation on a county-wide level. Easier to find for cities.</w:t>
                      </w:r>
                      <w:r w:rsidR="005A284E">
                        <w:t>”</w:t>
                      </w:r>
                    </w:p>
                    <w:p w14:paraId="5E32E77F" w14:textId="77777777" w:rsidR="00E24CF7" w:rsidRDefault="00E24CF7" w:rsidP="00E24CF7">
                      <w:pPr>
                        <w:jc w:val="center"/>
                      </w:pPr>
                      <w:r w:rsidRPr="00C2145C">
                        <w:t>"These partnerships, preparedness and mitigation measures may exist in cities but not county-wide."</w:t>
                      </w:r>
                    </w:p>
                  </w:txbxContent>
                </v:textbox>
                <w10:anchorlock/>
              </v:shape>
            </w:pict>
          </mc:Fallback>
        </mc:AlternateContent>
      </w:r>
    </w:p>
    <w:p w14:paraId="3325FF22" w14:textId="5C1153F9" w:rsidR="00820ED4" w:rsidRPr="002E45A9" w:rsidRDefault="00820ED4" w:rsidP="00E24CF7">
      <w:pPr>
        <w:pStyle w:val="Heading2"/>
      </w:pPr>
      <w:r w:rsidRPr="002E45A9">
        <w:lastRenderedPageBreak/>
        <w:t xml:space="preserve">CSF 4 </w:t>
      </w:r>
      <w:r w:rsidR="00142485">
        <w:t xml:space="preserve">— </w:t>
      </w:r>
      <w:r w:rsidRPr="002E45A9">
        <w:t xml:space="preserve">Investing in </w:t>
      </w:r>
      <w:r w:rsidRPr="002E45A9" w:rsidDel="00E44F7D">
        <w:t xml:space="preserve">Sustainability </w:t>
      </w:r>
    </w:p>
    <w:p w14:paraId="43D0D597" w14:textId="77777777" w:rsidR="006B2259" w:rsidRDefault="002A6476" w:rsidP="002A6476">
      <w:r>
        <w:t xml:space="preserve">This CSF involves </w:t>
      </w:r>
      <w:r w:rsidR="00E30091">
        <w:t>integrating resilience and sustainability into tourism planning and operations through investment, risk management, diversification and resource allocation.</w:t>
      </w:r>
    </w:p>
    <w:p w14:paraId="1D4ED7C6" w14:textId="07FBDC22" w:rsidR="45F53262" w:rsidRDefault="45F53262" w:rsidP="57D7F1AB">
      <w:pPr>
        <w:pStyle w:val="Heading3"/>
      </w:pPr>
      <w:r>
        <w:t>CSF 4 key findings</w:t>
      </w:r>
    </w:p>
    <w:p w14:paraId="2BBC5DB3" w14:textId="4D839C2F" w:rsidR="009A1CA1" w:rsidRDefault="009A1CA1" w:rsidP="009A1CA1">
      <w:r>
        <w:t xml:space="preserve">With a composite score of </w:t>
      </w:r>
      <w:r w:rsidR="00F32ADF">
        <w:t xml:space="preserve">79 out of 100, </w:t>
      </w:r>
      <w:r w:rsidRPr="18E55A4C">
        <w:t>Los Angeles County demonstrates a broad and active approach to sustainable development, particularly in how it leverages public funding and prioritizes equity in project distribution. The region</w:t>
      </w:r>
      <w:r>
        <w:t xml:space="preserve">, by a very wide margin, is the largest recipient of funding from the California Climate Investment umbrella of programs. However, it has received the funding because the region remains home to the nation’s worst in air quality in terms of ozone and smog (see CSF 7), as well as high greenhouse gas emissions. </w:t>
      </w:r>
    </w:p>
    <w:p w14:paraId="05CFF794" w14:textId="4C7B4426" w:rsidR="00654F15" w:rsidRDefault="00654F15" w:rsidP="00654F15">
      <w:r>
        <w:t xml:space="preserve">The region demonstrates a strong commitment to diversifying its tourism products and experiences, particularly in preparation for upcoming mega-events like the </w:t>
      </w:r>
      <w:r w:rsidR="00DC5317">
        <w:t xml:space="preserve">2026 </w:t>
      </w:r>
      <w:r>
        <w:t>World Cup and the</w:t>
      </w:r>
      <w:r w:rsidR="00DC5317">
        <w:t xml:space="preserve"> 2028</w:t>
      </w:r>
      <w:r>
        <w:t xml:space="preserve"> Olympics. This focus is driving significant assessments and planned investments</w:t>
      </w:r>
      <w:r w:rsidR="00F32ADF">
        <w:t xml:space="preserve"> </w:t>
      </w:r>
      <w:r w:rsidR="00511D94">
        <w:t xml:space="preserve">(e.g., </w:t>
      </w:r>
      <w:hyperlink r:id="rId43">
        <w:r w:rsidR="00511D94" w:rsidRPr="18E55A4C">
          <w:rPr>
            <w:rStyle w:val="Hyperlink"/>
          </w:rPr>
          <w:t>LA 2028 Olympic Legacy Street Improvements Plan</w:t>
        </w:r>
      </w:hyperlink>
      <w:r w:rsidR="00511D94">
        <w:t>)</w:t>
      </w:r>
      <w:r>
        <w:t>, including the expansion of multi-modal transportation options in key visitor areas.</w:t>
      </w:r>
    </w:p>
    <w:p w14:paraId="37532452" w14:textId="77777777" w:rsidR="00654F15" w:rsidRDefault="00654F15" w:rsidP="00654F15">
      <w:r>
        <w:t>Risk assessment and management in Los Angeles County show varied progress across different areas. Major infrastructure projects typically incorporate risk analysis, though climate stresses are not always comprehensively included. The region has developed robust approaches to earthquake risks, which could serve as a model for addressing other hazard types more systematically.</w:t>
      </w:r>
    </w:p>
    <w:p w14:paraId="5AEC9D53" w14:textId="77777777" w:rsidR="00654F15" w:rsidRDefault="00654F15" w:rsidP="00654F15">
      <w:r>
        <w:t>The role of government involvement is emphasized, particularly in developing risk transfer strategies and supporting broader resilience efforts. Multiple jurisdictions are implementing green initiatives, especially in transportation, indicating a growing awareness of sustainability needs across the region.</w:t>
      </w:r>
    </w:p>
    <w:p w14:paraId="6D4CF065" w14:textId="1AC47060" w:rsidR="00654F15" w:rsidRDefault="00654F15" w:rsidP="18E55A4C">
      <w:r>
        <w:t>Los Angeles County shows a strong foundation in tourism product diversity and a commitment to sustainable development, particularly driven by upcoming major events. Continued attention to risk integration, increased investment in tourism-related sustainability and carefully tailored approaches to infrastructure will be essential to maintain the county’s leadership in sustainable economic growth.</w:t>
      </w:r>
    </w:p>
    <w:p w14:paraId="44F49BD6" w14:textId="77777777" w:rsidR="006300E6" w:rsidRDefault="006300E6" w:rsidP="18E55A4C"/>
    <w:p w14:paraId="3BAF5704" w14:textId="6A477E14" w:rsidR="00654F15" w:rsidRDefault="00E7168A" w:rsidP="00654F15">
      <w:pPr>
        <w:jc w:val="center"/>
        <w:rPr>
          <w:sz w:val="28"/>
          <w:szCs w:val="28"/>
        </w:rPr>
      </w:pPr>
      <w:r>
        <w:rPr>
          <w:noProof/>
          <w:sz w:val="28"/>
          <w:szCs w:val="28"/>
        </w:rPr>
        <w:drawing>
          <wp:inline distT="0" distB="0" distL="0" distR="0" wp14:anchorId="53BCC11F" wp14:editId="13153ACA">
            <wp:extent cx="6400800" cy="2204085"/>
            <wp:effectExtent l="0" t="0" r="0" b="5715"/>
            <wp:docPr id="153462594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25940" name="Picture 3" descr="A screenshot of a computer&#10;&#10;AI-generated content may be incorrect."/>
                    <pic:cNvPicPr>
                      <a:picLocks noChangeAspect="1" noChangeArrowheads="1"/>
                    </pic:cNvPicPr>
                  </pic:nvPicPr>
                  <pic:blipFill rotWithShape="1">
                    <a:blip r:embed="rId44">
                      <a:extLst>
                        <a:ext uri="{28A0092B-C50C-407E-A947-70E740481C1C}">
                          <a14:useLocalDpi xmlns:a14="http://schemas.microsoft.com/office/drawing/2010/main" val="0"/>
                        </a:ext>
                      </a:extLst>
                    </a:blip>
                    <a:srcRect r="4474"/>
                    <a:stretch/>
                  </pic:blipFill>
                  <pic:spPr bwMode="auto">
                    <a:xfrm>
                      <a:off x="0" y="0"/>
                      <a:ext cx="6400800" cy="2204085"/>
                    </a:xfrm>
                    <a:prstGeom prst="rect">
                      <a:avLst/>
                    </a:prstGeom>
                    <a:noFill/>
                    <a:ln>
                      <a:noFill/>
                    </a:ln>
                    <a:extLst>
                      <a:ext uri="{53640926-AAD7-44D8-BBD7-CCE9431645EC}">
                        <a14:shadowObscured xmlns:a14="http://schemas.microsoft.com/office/drawing/2010/main"/>
                      </a:ext>
                    </a:extLst>
                  </pic:spPr>
                </pic:pic>
              </a:graphicData>
            </a:graphic>
          </wp:inline>
        </w:drawing>
      </w:r>
    </w:p>
    <w:p w14:paraId="6D2271B0" w14:textId="77777777" w:rsidR="00E7168A" w:rsidRDefault="00E7168A" w:rsidP="00654F15">
      <w:pPr>
        <w:jc w:val="center"/>
        <w:rPr>
          <w:sz w:val="28"/>
          <w:szCs w:val="28"/>
        </w:rPr>
      </w:pPr>
    </w:p>
    <w:p w14:paraId="4BCA32E5" w14:textId="2150E20D" w:rsidR="00D24EC9" w:rsidRPr="002E45A9" w:rsidRDefault="1A78C9F8" w:rsidP="00D24EC9">
      <w:pPr>
        <w:pStyle w:val="Heading3"/>
      </w:pPr>
      <w:r>
        <w:lastRenderedPageBreak/>
        <w:t xml:space="preserve">CSF 4 quantitative </w:t>
      </w:r>
      <w:r w:rsidR="44C7A71F">
        <w:t xml:space="preserve">rating </w:t>
      </w:r>
      <w:r w:rsidR="6464DF24">
        <w:t>descriptions</w:t>
      </w:r>
    </w:p>
    <w:p w14:paraId="7B4AA20B" w14:textId="18EEB226" w:rsidR="00D24EC9" w:rsidRPr="002E45A9" w:rsidRDefault="00D24EC9" w:rsidP="00D24EC9">
      <w:r w:rsidRPr="002E45A9">
        <w:t xml:space="preserve">CSF </w:t>
      </w:r>
      <w:r w:rsidR="00656633" w:rsidRPr="002E45A9">
        <w:t>4</w:t>
      </w:r>
      <w:r w:rsidRPr="002E45A9">
        <w:t xml:space="preserve"> </w:t>
      </w:r>
      <w:r w:rsidR="00656633" w:rsidRPr="002E45A9">
        <w:t>evaluates the region across a myriad of criteria</w:t>
      </w:r>
      <w:r w:rsidR="005F030B">
        <w:t>,</w:t>
      </w:r>
      <w:r w:rsidR="00656633" w:rsidRPr="002E45A9">
        <w:t xml:space="preserve"> </w:t>
      </w:r>
      <w:r w:rsidR="008C36D3" w:rsidRPr="002E45A9">
        <w:t>characterizing investment in and funding for sustainability</w:t>
      </w:r>
      <w:r w:rsidR="004B310D">
        <w:t>,</w:t>
      </w:r>
      <w:r w:rsidR="008C36D3" w:rsidRPr="002E45A9">
        <w:t xml:space="preserve"> </w:t>
      </w:r>
      <w:r w:rsidR="0078096B" w:rsidRPr="002E45A9">
        <w:t>as well as</w:t>
      </w:r>
      <w:r w:rsidR="003F3E4D" w:rsidRPr="002E45A9">
        <w:t xml:space="preserve"> the</w:t>
      </w:r>
      <w:r w:rsidR="0078096B" w:rsidRPr="002E45A9">
        <w:t xml:space="preserve"> region’s</w:t>
      </w:r>
      <w:r w:rsidR="003F3E4D" w:rsidRPr="002E45A9">
        <w:t xml:space="preserve"> overall economic healt</w:t>
      </w:r>
      <w:r w:rsidR="0078096B" w:rsidRPr="002E45A9">
        <w:t>h:</w:t>
      </w:r>
    </w:p>
    <w:p w14:paraId="1F939F25" w14:textId="78BC2108" w:rsidR="0078096B" w:rsidRPr="002E45A9" w:rsidRDefault="0038356E" w:rsidP="00B0390A">
      <w:pPr>
        <w:pStyle w:val="Heading4"/>
      </w:pPr>
      <w:r w:rsidRPr="002E45A9">
        <w:t xml:space="preserve">Number of </w:t>
      </w:r>
      <w:r w:rsidR="009B5FA4">
        <w:t>s</w:t>
      </w:r>
      <w:r w:rsidR="009B5FA4" w:rsidRPr="002E45A9">
        <w:t xml:space="preserve">ustainable </w:t>
      </w:r>
      <w:r w:rsidR="009B5FA4">
        <w:t>hotels</w:t>
      </w:r>
    </w:p>
    <w:p w14:paraId="0E74C45D" w14:textId="36757965" w:rsidR="0078096B" w:rsidRPr="002E45A9" w:rsidRDefault="013B60AB" w:rsidP="0078096B">
      <w:pPr>
        <w:ind w:left="360"/>
      </w:pPr>
      <w:r>
        <w:t>Reviews a</w:t>
      </w:r>
      <w:r w:rsidR="593F19D1">
        <w:t xml:space="preserve"> comprehensive list of </w:t>
      </w:r>
      <w:r w:rsidR="45A6358C">
        <w:t xml:space="preserve">sustainable hotels based on </w:t>
      </w:r>
      <w:hyperlink r:id="rId45">
        <w:r w:rsidR="45A6358C" w:rsidRPr="177858A2">
          <w:rPr>
            <w:rStyle w:val="Hyperlink"/>
          </w:rPr>
          <w:t xml:space="preserve">Tripadvisor’s criteria on </w:t>
        </w:r>
        <w:r w:rsidR="593F19D1" w:rsidRPr="177858A2">
          <w:rPr>
            <w:rStyle w:val="Hyperlink"/>
          </w:rPr>
          <w:t>eco-friendly practices</w:t>
        </w:r>
      </w:hyperlink>
      <w:r w:rsidR="593F19D1">
        <w:t xml:space="preserve">, from linen and towel re-use, recycling and composting </w:t>
      </w:r>
      <w:r w:rsidR="3BFB025B">
        <w:t>to</w:t>
      </w:r>
      <w:r w:rsidR="593F19D1">
        <w:t xml:space="preserve"> solar panels, electric car charging stations and green roofing.</w:t>
      </w:r>
      <w:r w:rsidR="47BE149B">
        <w:t xml:space="preserve"> This is the total number of sustainable hotels in the region, not the percentage </w:t>
      </w:r>
      <w:r w:rsidR="7061FA2B">
        <w:t xml:space="preserve">of </w:t>
      </w:r>
      <w:r w:rsidR="47BE149B">
        <w:t xml:space="preserve">all </w:t>
      </w:r>
      <w:r w:rsidR="32164AE3">
        <w:t xml:space="preserve">sustainable </w:t>
      </w:r>
      <w:r w:rsidR="47BE149B">
        <w:t>hotels in the region</w:t>
      </w:r>
      <w:r w:rsidR="7AF0BE6A">
        <w:t>.</w:t>
      </w:r>
    </w:p>
    <w:p w14:paraId="35C1CFB3" w14:textId="53C07C4E" w:rsidR="0078096B" w:rsidRPr="002E45A9" w:rsidRDefault="0038356E" w:rsidP="0038356E">
      <w:pPr>
        <w:pStyle w:val="Heading4"/>
      </w:pPr>
      <w:r w:rsidRPr="002E45A9">
        <w:t xml:space="preserve">GHG </w:t>
      </w:r>
      <w:r w:rsidR="009B5FA4">
        <w:t>e</w:t>
      </w:r>
      <w:r w:rsidR="009B5FA4" w:rsidRPr="002E45A9">
        <w:t xml:space="preserve">missions </w:t>
      </w:r>
      <w:r w:rsidRPr="002E45A9">
        <w:t xml:space="preserve">per </w:t>
      </w:r>
      <w:r w:rsidR="009B5FA4">
        <w:t>capita</w:t>
      </w:r>
    </w:p>
    <w:p w14:paraId="1447058D" w14:textId="523BD3E6" w:rsidR="0078096B" w:rsidRPr="002E45A9" w:rsidRDefault="00533EDA" w:rsidP="0078096B">
      <w:pPr>
        <w:ind w:left="360"/>
      </w:pPr>
      <w:r>
        <w:t xml:space="preserve">Analyzes </w:t>
      </w:r>
      <w:r w:rsidR="00B24BC1">
        <w:t>GHG</w:t>
      </w:r>
      <w:r w:rsidR="00B24BC1" w:rsidRPr="002E45A9">
        <w:t xml:space="preserve"> </w:t>
      </w:r>
      <w:r w:rsidR="002A6476" w:rsidRPr="002E45A9">
        <w:t xml:space="preserve">emission estimates </w:t>
      </w:r>
      <w:r w:rsidR="00B24BC1">
        <w:t>based</w:t>
      </w:r>
      <w:r w:rsidR="00B24BC1" w:rsidRPr="002E45A9">
        <w:t xml:space="preserve"> </w:t>
      </w:r>
      <w:r w:rsidR="002A6476" w:rsidRPr="002E45A9">
        <w:t>on state, regional or federal data sources</w:t>
      </w:r>
      <w:r w:rsidR="00E2142C">
        <w:t xml:space="preserve"> and</w:t>
      </w:r>
      <w:r w:rsidR="002A6476" w:rsidRPr="002E45A9">
        <w:t xml:space="preserve"> aggregated facility-specific emission reports from CARB's </w:t>
      </w:r>
      <w:hyperlink r:id="rId46" w:history="1">
        <w:r w:rsidR="002A6476" w:rsidRPr="006B66AB">
          <w:rPr>
            <w:rStyle w:val="Hyperlink"/>
          </w:rPr>
          <w:t>Mandatory GHG Reporting Program</w:t>
        </w:r>
      </w:hyperlink>
      <w:r w:rsidR="002A6476">
        <w:t xml:space="preserve">. </w:t>
      </w:r>
    </w:p>
    <w:p w14:paraId="158AE598" w14:textId="5EA339EB" w:rsidR="0078096B" w:rsidRPr="002E45A9" w:rsidRDefault="000F6D5B" w:rsidP="000F6D5B">
      <w:pPr>
        <w:pStyle w:val="Heading4"/>
      </w:pPr>
      <w:r w:rsidRPr="002E45A9">
        <w:t xml:space="preserve">GDP per </w:t>
      </w:r>
      <w:r w:rsidR="009B5FA4">
        <w:t>capita</w:t>
      </w:r>
    </w:p>
    <w:p w14:paraId="07CB5823" w14:textId="30768409" w:rsidR="006400D2" w:rsidRPr="002E45A9" w:rsidRDefault="54F463C9" w:rsidP="0078096B">
      <w:pPr>
        <w:ind w:left="360"/>
      </w:pPr>
      <w:r>
        <w:t>Calculates the region's economic output per person by dividing total Gross Domestic Product (GDP) by total population</w:t>
      </w:r>
      <w:r w:rsidR="69BF391A">
        <w:t>, serving</w:t>
      </w:r>
      <w:r>
        <w:t xml:space="preserve"> as an indicator of the area's standard of living and the economic well-being of the local population.</w:t>
      </w:r>
    </w:p>
    <w:p w14:paraId="552408EA" w14:textId="3119DA2B" w:rsidR="0078096B" w:rsidRPr="002E45A9" w:rsidRDefault="000F6D5B" w:rsidP="000F6D5B">
      <w:pPr>
        <w:pStyle w:val="Heading4"/>
      </w:pPr>
      <w:r w:rsidRPr="002E45A9">
        <w:t xml:space="preserve">Annual </w:t>
      </w:r>
      <w:r w:rsidR="009B5FA4">
        <w:t>j</w:t>
      </w:r>
      <w:r w:rsidR="009B5FA4" w:rsidRPr="002E45A9">
        <w:t xml:space="preserve">ob </w:t>
      </w:r>
      <w:r w:rsidR="009B5FA4">
        <w:t>g</w:t>
      </w:r>
      <w:r w:rsidR="009B5FA4" w:rsidRPr="002E45A9">
        <w:t xml:space="preserve">rowth </w:t>
      </w:r>
      <w:r w:rsidRPr="002E45A9">
        <w:t>(2018-2022)</w:t>
      </w:r>
    </w:p>
    <w:p w14:paraId="63A2AADC" w14:textId="4B2B0F41" w:rsidR="00DE1853" w:rsidRPr="00DE1853" w:rsidRDefault="4BF87EB8" w:rsidP="00DE1853">
      <w:pPr>
        <w:ind w:left="360"/>
        <w:rPr>
          <w:lang w:val="en-CA"/>
        </w:rPr>
      </w:pPr>
      <w:r w:rsidRPr="177858A2">
        <w:rPr>
          <w:lang w:val="en-CA"/>
        </w:rPr>
        <w:t xml:space="preserve">Measures the year-over-year increase in </w:t>
      </w:r>
      <w:r w:rsidR="6A51ED36" w:rsidRPr="177858A2">
        <w:rPr>
          <w:lang w:val="en-CA"/>
        </w:rPr>
        <w:t xml:space="preserve">the number of </w:t>
      </w:r>
      <w:r w:rsidRPr="177858A2">
        <w:rPr>
          <w:lang w:val="en-CA"/>
        </w:rPr>
        <w:t>employed individuals within the region</w:t>
      </w:r>
      <w:r w:rsidR="481862BE" w:rsidRPr="177858A2">
        <w:rPr>
          <w:lang w:val="en-CA"/>
        </w:rPr>
        <w:t xml:space="preserve"> and e</w:t>
      </w:r>
      <w:r w:rsidRPr="177858A2">
        <w:rPr>
          <w:lang w:val="en-CA"/>
        </w:rPr>
        <w:t xml:space="preserve">xpresses this growth as a percentage, indicating the rate of job creation in the economy over a 12-month period. </w:t>
      </w:r>
      <w:r w:rsidR="69BF391A" w:rsidRPr="177858A2">
        <w:rPr>
          <w:lang w:val="en-CA"/>
        </w:rPr>
        <w:t xml:space="preserve">The metric incorporates </w:t>
      </w:r>
      <w:r w:rsidRPr="177858A2">
        <w:rPr>
          <w:lang w:val="en-CA"/>
        </w:rPr>
        <w:t xml:space="preserve">the percent change in total employees between 2018 and 2022 for the </w:t>
      </w:r>
      <w:r w:rsidR="377608E4" w:rsidRPr="177858A2">
        <w:rPr>
          <w:lang w:val="en-CA"/>
        </w:rPr>
        <w:t>s</w:t>
      </w:r>
      <w:r w:rsidRPr="177858A2">
        <w:rPr>
          <w:lang w:val="en-CA"/>
        </w:rPr>
        <w:t>corecard</w:t>
      </w:r>
      <w:r w:rsidR="5E8BA08C" w:rsidRPr="177858A2">
        <w:rPr>
          <w:lang w:val="en-CA"/>
        </w:rPr>
        <w:t xml:space="preserve"> and i</w:t>
      </w:r>
      <w:r w:rsidRPr="177858A2">
        <w:rPr>
          <w:lang w:val="en-CA"/>
        </w:rPr>
        <w:t>nterprets positive percentages as an increase in employees and negative percentages as a decrease.</w:t>
      </w:r>
    </w:p>
    <w:p w14:paraId="5723A5EE" w14:textId="2CD4204B" w:rsidR="0078096B" w:rsidRPr="002E45A9" w:rsidRDefault="006147E5" w:rsidP="00B0390A">
      <w:pPr>
        <w:pStyle w:val="Heading4"/>
      </w:pPr>
      <w:r w:rsidRPr="002E45A9">
        <w:t xml:space="preserve">Total </w:t>
      </w:r>
      <w:r w:rsidR="009B5FA4">
        <w:t>s</w:t>
      </w:r>
      <w:r w:rsidR="009B5FA4" w:rsidRPr="002E45A9">
        <w:t xml:space="preserve">ustainability </w:t>
      </w:r>
      <w:r w:rsidR="009B5FA4">
        <w:t>f</w:t>
      </w:r>
      <w:r w:rsidR="009B5FA4" w:rsidRPr="002E45A9">
        <w:t xml:space="preserve">unds </w:t>
      </w:r>
      <w:r w:rsidRPr="002E45A9">
        <w:t>(CCI)</w:t>
      </w:r>
    </w:p>
    <w:p w14:paraId="33A923DA" w14:textId="39889E97" w:rsidR="00886040" w:rsidRPr="002E45A9" w:rsidRDefault="4EBB5E37" w:rsidP="0078096B">
      <w:pPr>
        <w:ind w:left="360"/>
      </w:pPr>
      <w:r>
        <w:t xml:space="preserve">Reviews funding from the </w:t>
      </w:r>
      <w:hyperlink r:id="rId47">
        <w:r w:rsidRPr="177858A2">
          <w:rPr>
            <w:rStyle w:val="Hyperlink"/>
          </w:rPr>
          <w:t>California Climate Initiative (CCI)</w:t>
        </w:r>
      </w:hyperlink>
      <w:r>
        <w:t>, derived from the state's greenhouse gas (GHG) emissions cap-and-trade auction proceeds</w:t>
      </w:r>
      <w:r w:rsidR="5BA668B4">
        <w:t xml:space="preserve">, aiming </w:t>
      </w:r>
      <w:r>
        <w:t>to reduce GHG emissions, strengthen the economy and improve public health and the environment</w:t>
      </w:r>
      <w:r w:rsidR="00844958">
        <w:t>; p</w:t>
      </w:r>
      <w:r>
        <w:t>rovides data at the county level.</w:t>
      </w:r>
    </w:p>
    <w:p w14:paraId="7726AC84" w14:textId="0488C08A" w:rsidR="0078096B" w:rsidRPr="002E45A9" w:rsidRDefault="00864099" w:rsidP="00B0390A">
      <w:pPr>
        <w:pStyle w:val="Heading4"/>
      </w:pPr>
      <w:r w:rsidRPr="002E45A9">
        <w:t xml:space="preserve">Priority </w:t>
      </w:r>
      <w:r w:rsidR="009B5FA4">
        <w:t>p</w:t>
      </w:r>
      <w:r w:rsidR="009B5FA4" w:rsidRPr="002E45A9">
        <w:t xml:space="preserve">opulation </w:t>
      </w:r>
      <w:r w:rsidR="009B5FA4">
        <w:t>funding</w:t>
      </w:r>
    </w:p>
    <w:p w14:paraId="61B9998A" w14:textId="0B8C8A8C" w:rsidR="00505F1D" w:rsidRDefault="2C6D58AA" w:rsidP="5410F9D9">
      <w:pPr>
        <w:ind w:left="360"/>
      </w:pPr>
      <w:r>
        <w:t xml:space="preserve">Reviews funding from the </w:t>
      </w:r>
      <w:hyperlink r:id="rId48">
        <w:r w:rsidRPr="18E55A4C">
          <w:rPr>
            <w:rStyle w:val="Hyperlink"/>
          </w:rPr>
          <w:t>California Climate Initiative (CCI)</w:t>
        </w:r>
      </w:hyperlink>
      <w:r>
        <w:t xml:space="preserve"> </w:t>
      </w:r>
      <w:r w:rsidR="0ABE7B98">
        <w:t>for projects benefiting “</w:t>
      </w:r>
      <w:hyperlink r:id="rId49">
        <w:r w:rsidR="0ABE7B98" w:rsidRPr="18E55A4C">
          <w:rPr>
            <w:rStyle w:val="Hyperlink"/>
            <w:rFonts w:eastAsiaTheme="minorEastAsia"/>
          </w:rPr>
          <w:t>priority population</w:t>
        </w:r>
      </w:hyperlink>
      <w:r w:rsidR="0ABE7B98" w:rsidRPr="18E55A4C">
        <w:rPr>
          <w:rFonts w:eastAsiaTheme="minorEastAsia"/>
        </w:rPr>
        <w:t xml:space="preserve">” </w:t>
      </w:r>
      <w:r w:rsidR="0ABE7B98">
        <w:t>households</w:t>
      </w:r>
      <w:r>
        <w:t xml:space="preserve"> as defi</w:t>
      </w:r>
      <w:r w:rsidR="0ABE7B98">
        <w:t>ned in state statute</w:t>
      </w:r>
      <w:r>
        <w:t xml:space="preserve"> as</w:t>
      </w:r>
      <w:r w:rsidR="0ABE7B98">
        <w:t xml:space="preserve"> disadvantaged communities, low-income communities and low-income households. </w:t>
      </w:r>
      <w:r w:rsidR="07B74E16">
        <w:t xml:space="preserve">This metric examines </w:t>
      </w:r>
      <w:r w:rsidR="0ABE7B98">
        <w:t>how these projects provide meaningful benefits to these specific groups</w:t>
      </w:r>
      <w:r w:rsidR="48178FD3">
        <w:t>.</w:t>
      </w:r>
    </w:p>
    <w:p w14:paraId="30574C14" w14:textId="6D742CD9" w:rsidR="0078096B" w:rsidRPr="002E45A9" w:rsidRDefault="00864099" w:rsidP="00011BF5">
      <w:pPr>
        <w:pStyle w:val="Heading4"/>
      </w:pPr>
      <w:r w:rsidRPr="002E45A9">
        <w:t xml:space="preserve">Sustainability </w:t>
      </w:r>
      <w:r w:rsidR="009B5FA4">
        <w:t>f</w:t>
      </w:r>
      <w:r w:rsidR="009B5FA4" w:rsidRPr="002E45A9">
        <w:t xml:space="preserve">unding </w:t>
      </w:r>
      <w:r w:rsidR="00242EB1" w:rsidRPr="002E45A9">
        <w:t>(</w:t>
      </w:r>
      <w:r w:rsidRPr="002E45A9">
        <w:t>per Capita</w:t>
      </w:r>
      <w:r w:rsidR="00242EB1" w:rsidRPr="002E45A9">
        <w:t>)</w:t>
      </w:r>
    </w:p>
    <w:p w14:paraId="46C4B24C" w14:textId="2EE9EF64" w:rsidR="0059478C" w:rsidRDefault="00F713E2" w:rsidP="007E7161">
      <w:pPr>
        <w:ind w:firstLine="360"/>
      </w:pPr>
      <w:r>
        <w:t>Reviews</w:t>
      </w:r>
      <w:r w:rsidRPr="00886040">
        <w:t xml:space="preserve"> funding from the</w:t>
      </w:r>
      <w:r>
        <w:t xml:space="preserve"> </w:t>
      </w:r>
      <w:hyperlink r:id="rId50" w:history="1">
        <w:r w:rsidRPr="00CE003F">
          <w:rPr>
            <w:rStyle w:val="Hyperlink"/>
          </w:rPr>
          <w:t>California Climate Initiative (CCI)</w:t>
        </w:r>
      </w:hyperlink>
      <w:r w:rsidR="00CE183B">
        <w:t xml:space="preserve"> </w:t>
      </w:r>
      <w:r w:rsidR="00F9717D">
        <w:t>per</w:t>
      </w:r>
      <w:r w:rsidR="002A6476">
        <w:t xml:space="preserve"> </w:t>
      </w:r>
      <w:r w:rsidR="002A6476" w:rsidRPr="5410F9D9">
        <w:t>resident in each county.</w:t>
      </w:r>
    </w:p>
    <w:p w14:paraId="7EA29439" w14:textId="24DAA139" w:rsidR="0078096B" w:rsidRPr="002E45A9" w:rsidRDefault="00242EB1" w:rsidP="00B0390A">
      <w:pPr>
        <w:pStyle w:val="Heading4"/>
      </w:pPr>
      <w:r w:rsidRPr="002E45A9">
        <w:t xml:space="preserve">Sustainability </w:t>
      </w:r>
      <w:r w:rsidR="009B5FA4" w:rsidRPr="00E44421">
        <w:t>project</w:t>
      </w:r>
      <w:r w:rsidR="009B5FA4" w:rsidRPr="002E45A9">
        <w:t xml:space="preserve"> </w:t>
      </w:r>
      <w:r w:rsidR="009B5FA4">
        <w:t>c</w:t>
      </w:r>
      <w:r w:rsidR="009B5FA4" w:rsidRPr="002E45A9">
        <w:t xml:space="preserve">ount </w:t>
      </w:r>
      <w:r w:rsidR="009B5FA4">
        <w:t>score</w:t>
      </w:r>
    </w:p>
    <w:p w14:paraId="021358BB" w14:textId="019903E3" w:rsidR="0078096B" w:rsidRPr="00CE183B" w:rsidRDefault="165FB87D" w:rsidP="00011BF5">
      <w:pPr>
        <w:ind w:left="360"/>
        <w:rPr>
          <w:lang w:val="en-CA"/>
        </w:rPr>
      </w:pPr>
      <w:r w:rsidRPr="177858A2">
        <w:rPr>
          <w:lang w:val="en-CA"/>
        </w:rPr>
        <w:t xml:space="preserve">Examines the number of </w:t>
      </w:r>
      <w:hyperlink r:id="rId51">
        <w:r w:rsidR="5E56629F" w:rsidRPr="177858A2">
          <w:rPr>
            <w:rStyle w:val="Hyperlink"/>
          </w:rPr>
          <w:t>California Climate Initiative (CCI)</w:t>
        </w:r>
      </w:hyperlink>
      <w:r w:rsidR="5E56629F">
        <w:t xml:space="preserve"> </w:t>
      </w:r>
      <w:r w:rsidRPr="177858A2">
        <w:rPr>
          <w:lang w:val="en-CA"/>
        </w:rPr>
        <w:t>projects per county</w:t>
      </w:r>
      <w:r w:rsidR="07B74E16" w:rsidRPr="177858A2">
        <w:rPr>
          <w:lang w:val="en-CA"/>
        </w:rPr>
        <w:t xml:space="preserve"> and i</w:t>
      </w:r>
      <w:r w:rsidRPr="177858A2">
        <w:rPr>
          <w:lang w:val="en-CA"/>
        </w:rPr>
        <w:t>ndicates the level of effort invested in climate initiatives within each county</w:t>
      </w:r>
      <w:r w:rsidR="5E56629F" w:rsidRPr="177858A2">
        <w:rPr>
          <w:lang w:val="en-CA"/>
        </w:rPr>
        <w:t xml:space="preserve"> and r</w:t>
      </w:r>
      <w:r w:rsidRPr="177858A2">
        <w:rPr>
          <w:lang w:val="en-CA"/>
        </w:rPr>
        <w:t>eflects the diversity of project types implemented across different counties</w:t>
      </w:r>
      <w:r w:rsidR="593F19D1">
        <w:t>.</w:t>
      </w:r>
    </w:p>
    <w:p w14:paraId="7321B29B" w14:textId="28EFBC40" w:rsidR="00193652" w:rsidRPr="00FC69BE" w:rsidRDefault="009B5FA4" w:rsidP="00D175C2">
      <w:pPr>
        <w:pStyle w:val="Heading3"/>
      </w:pPr>
      <w:r>
        <w:lastRenderedPageBreak/>
        <w:t xml:space="preserve">CSF 4 qualitative </w:t>
      </w:r>
      <w:r w:rsidR="002B2D79">
        <w:t xml:space="preserve">ratings </w:t>
      </w:r>
      <w:r w:rsidR="00193652">
        <w:t xml:space="preserve">and </w:t>
      </w:r>
      <w:r w:rsidR="002B2D79">
        <w:t>findings</w:t>
      </w:r>
    </w:p>
    <w:p w14:paraId="396B5228" w14:textId="2B52CC08" w:rsidR="000D4F2C" w:rsidRPr="00FC69BE" w:rsidRDefault="000D4F2C" w:rsidP="002C4D16">
      <w:r>
        <w:t>Qualitatively, the panelists assessed the region’s performance on CSF 4 across the following criteria:</w:t>
      </w:r>
    </w:p>
    <w:p w14:paraId="5D98E2EB" w14:textId="39844BF6" w:rsidR="00E30091" w:rsidRPr="00FC69BE" w:rsidRDefault="003F7CEE" w:rsidP="00011BF5">
      <w:pPr>
        <w:pStyle w:val="Heading4"/>
      </w:pPr>
      <w:r>
        <w:t>R</w:t>
      </w:r>
      <w:r w:rsidR="000D4F2C">
        <w:t xml:space="preserve">isk-Informed </w:t>
      </w:r>
      <w:r>
        <w:t>public investments</w:t>
      </w:r>
    </w:p>
    <w:p w14:paraId="516BA8CE" w14:textId="3AAF8944" w:rsidR="00E30091" w:rsidRPr="00FC69BE" w:rsidRDefault="00F629FD" w:rsidP="00E3113A">
      <w:pPr>
        <w:ind w:left="360"/>
      </w:pPr>
      <w:r>
        <w:t>Reviews t</w:t>
      </w:r>
      <w:r w:rsidR="005570FC">
        <w:t xml:space="preserve">he extent to which </w:t>
      </w:r>
      <w:r w:rsidR="00E72BD8">
        <w:t xml:space="preserve">panelists feel </w:t>
      </w:r>
      <w:r w:rsidR="005570FC">
        <w:t xml:space="preserve">public </w:t>
      </w:r>
      <w:r w:rsidR="00E30091">
        <w:t xml:space="preserve">sector </w:t>
      </w:r>
      <w:r w:rsidR="009E32C5">
        <w:t xml:space="preserve">infrastructure </w:t>
      </w:r>
      <w:r w:rsidR="00E30091">
        <w:t xml:space="preserve">projects consider multi-hazard </w:t>
      </w:r>
      <w:r w:rsidR="009E32C5">
        <w:t>vulnerability/</w:t>
      </w:r>
      <w:r w:rsidR="00E30091">
        <w:t xml:space="preserve">risk studies </w:t>
      </w:r>
      <w:r w:rsidR="003B073F">
        <w:t>to tourism</w:t>
      </w:r>
      <w:r w:rsidR="00E30091">
        <w:t>.</w:t>
      </w:r>
    </w:p>
    <w:p w14:paraId="64B5F15D" w14:textId="79D5D9A2" w:rsidR="002C4D16" w:rsidRPr="00FC69BE" w:rsidRDefault="000D4F2C" w:rsidP="005903BD">
      <w:pPr>
        <w:pStyle w:val="Heading4"/>
      </w:pPr>
      <w:r>
        <w:t xml:space="preserve">Resilience </w:t>
      </w:r>
      <w:r w:rsidR="003B073F">
        <w:t>i</w:t>
      </w:r>
      <w:r>
        <w:t xml:space="preserve">nitiatives and </w:t>
      </w:r>
      <w:r w:rsidR="003B073F">
        <w:t>t</w:t>
      </w:r>
      <w:r>
        <w:t xml:space="preserve">ourism </w:t>
      </w:r>
      <w:r w:rsidR="003B073F">
        <w:t>a</w:t>
      </w:r>
      <w:r>
        <w:t>ssets</w:t>
      </w:r>
    </w:p>
    <w:p w14:paraId="642394BD" w14:textId="26F8DFB3" w:rsidR="00E30091" w:rsidRDefault="07D0BF24" w:rsidP="00011BF5">
      <w:pPr>
        <w:ind w:left="360"/>
      </w:pPr>
      <w:r>
        <w:t>Assesses panelists' perceptions regarding public investment in programs that protect tourism assets, natural attractions and infrastructure</w:t>
      </w:r>
      <w:r w:rsidR="6FCAEEF2">
        <w:t xml:space="preserve"> and e</w:t>
      </w:r>
      <w:r>
        <w:t>valuates whether panelists believe such investments are being made and to what extent.</w:t>
      </w:r>
    </w:p>
    <w:p w14:paraId="164D7D29" w14:textId="0A829EE9" w:rsidR="002C4D16" w:rsidRPr="00FC69BE" w:rsidRDefault="008D0120" w:rsidP="005903BD">
      <w:pPr>
        <w:pStyle w:val="Heading4"/>
      </w:pPr>
      <w:r>
        <w:t>P</w:t>
      </w:r>
      <w:r w:rsidR="003B073F">
        <w:t xml:space="preserve">rioritization </w:t>
      </w:r>
      <w:r>
        <w:t xml:space="preserve">of </w:t>
      </w:r>
      <w:r w:rsidR="003B073F">
        <w:t>tourism p</w:t>
      </w:r>
      <w:r w:rsidR="000D4F2C">
        <w:t xml:space="preserve">roduct </w:t>
      </w:r>
      <w:r w:rsidR="003B073F">
        <w:t>d</w:t>
      </w:r>
      <w:r w:rsidR="000D4F2C">
        <w:t>iversification</w:t>
      </w:r>
    </w:p>
    <w:p w14:paraId="332F74F2" w14:textId="31D7E9C0" w:rsidR="00E30091" w:rsidRDefault="4DA3CFF6" w:rsidP="00011BF5">
      <w:pPr>
        <w:ind w:left="360"/>
        <w:rPr>
          <w:lang w:val="en-CA"/>
        </w:rPr>
      </w:pPr>
      <w:r w:rsidRPr="177858A2">
        <w:rPr>
          <w:lang w:val="en-CA"/>
        </w:rPr>
        <w:t xml:space="preserve">Evaluates </w:t>
      </w:r>
      <w:r w:rsidR="3FFEA39F" w:rsidRPr="177858A2">
        <w:rPr>
          <w:lang w:val="en-CA"/>
        </w:rPr>
        <w:t xml:space="preserve">panelists’ perceptions of </w:t>
      </w:r>
      <w:r w:rsidRPr="177858A2">
        <w:rPr>
          <w:lang w:val="en-CA"/>
        </w:rPr>
        <w:t>destination investment aimed at broadening the variety of tourism offerings</w:t>
      </w:r>
      <w:r w:rsidR="6FCAEEF2" w:rsidRPr="177858A2">
        <w:rPr>
          <w:lang w:val="en-CA"/>
        </w:rPr>
        <w:t xml:space="preserve"> and a</w:t>
      </w:r>
      <w:r w:rsidRPr="177858A2">
        <w:rPr>
          <w:lang w:val="en-CA"/>
        </w:rPr>
        <w:t>ssesses efforts to diversify tourism products and experiences.</w:t>
      </w:r>
    </w:p>
    <w:p w14:paraId="43910398" w14:textId="65308CE6" w:rsidR="002C4D16" w:rsidRPr="00FC69BE" w:rsidRDefault="528F926D" w:rsidP="00011BF5">
      <w:pPr>
        <w:pStyle w:val="Heading4"/>
      </w:pPr>
      <w:r>
        <w:t xml:space="preserve">Risk </w:t>
      </w:r>
      <w:r w:rsidR="6FEAAE0F">
        <w:t>t</w:t>
      </w:r>
      <w:r>
        <w:t xml:space="preserve">ransfer </w:t>
      </w:r>
      <w:r w:rsidR="6FEAAE0F">
        <w:t>s</w:t>
      </w:r>
      <w:r>
        <w:t>trategies</w:t>
      </w:r>
    </w:p>
    <w:p w14:paraId="6A58B588" w14:textId="1E828A0D" w:rsidR="009110FC" w:rsidRPr="00FC69BE" w:rsidRDefault="2581CB3A" w:rsidP="00011BF5">
      <w:pPr>
        <w:spacing w:line="240" w:lineRule="auto"/>
        <w:ind w:left="360"/>
        <w:rPr>
          <w:lang w:val="en-CA"/>
        </w:rPr>
      </w:pPr>
      <w:r w:rsidRPr="177858A2">
        <w:rPr>
          <w:lang w:val="en-CA"/>
        </w:rPr>
        <w:t xml:space="preserve">Measures </w:t>
      </w:r>
      <w:r w:rsidR="68C02E43" w:rsidRPr="177858A2">
        <w:rPr>
          <w:lang w:val="en-CA"/>
        </w:rPr>
        <w:t xml:space="preserve">panelists’ perceptions of </w:t>
      </w:r>
      <w:r w:rsidRPr="177858A2">
        <w:rPr>
          <w:lang w:val="en-CA"/>
        </w:rPr>
        <w:t>the level of risk transfer strategies implemented to safeguard tourism assets against unforeseen risks</w:t>
      </w:r>
      <w:r w:rsidR="6FCAEEF2" w:rsidRPr="177858A2">
        <w:rPr>
          <w:lang w:val="en-CA"/>
        </w:rPr>
        <w:t xml:space="preserve"> and i</w:t>
      </w:r>
      <w:r w:rsidRPr="177858A2">
        <w:rPr>
          <w:lang w:val="en-CA"/>
        </w:rPr>
        <w:t>ncludes strategies such as insurance, reserves and climate bonds.</w:t>
      </w:r>
    </w:p>
    <w:p w14:paraId="13F3FCA9" w14:textId="6D0090EB" w:rsidR="002C4D16" w:rsidRPr="00FC69BE" w:rsidRDefault="528F926D" w:rsidP="00011BF5">
      <w:pPr>
        <w:pStyle w:val="Heading4"/>
      </w:pPr>
      <w:r>
        <w:t xml:space="preserve">Transportation </w:t>
      </w:r>
      <w:r w:rsidR="47032DA0">
        <w:t>i</w:t>
      </w:r>
      <w:r>
        <w:t>nfrastructure</w:t>
      </w:r>
    </w:p>
    <w:p w14:paraId="16196EE5" w14:textId="5197EE22" w:rsidR="009110FC" w:rsidRPr="00FC69BE" w:rsidRDefault="2581CB3A" w:rsidP="00011BF5">
      <w:pPr>
        <w:spacing w:line="240" w:lineRule="auto"/>
        <w:ind w:left="360"/>
        <w:rPr>
          <w:lang w:val="en-CA"/>
        </w:rPr>
      </w:pPr>
      <w:r w:rsidRPr="177858A2">
        <w:rPr>
          <w:lang w:val="en-CA"/>
        </w:rPr>
        <w:t xml:space="preserve">Analyzes </w:t>
      </w:r>
      <w:r w:rsidR="68C02E43" w:rsidRPr="177858A2">
        <w:rPr>
          <w:lang w:val="en-CA"/>
        </w:rPr>
        <w:t xml:space="preserve">panelists’ perceptions of </w:t>
      </w:r>
      <w:r w:rsidRPr="177858A2">
        <w:rPr>
          <w:lang w:val="en-CA"/>
        </w:rPr>
        <w:t>visitor reliance on personal vehicles versus public transportation</w:t>
      </w:r>
      <w:r w:rsidR="6FCAEEF2" w:rsidRPr="177858A2">
        <w:rPr>
          <w:lang w:val="en-CA"/>
        </w:rPr>
        <w:t xml:space="preserve"> and a</w:t>
      </w:r>
      <w:r w:rsidRPr="177858A2">
        <w:rPr>
          <w:lang w:val="en-CA"/>
        </w:rPr>
        <w:t>ssesses the extent to which visitors use green transportation options.</w:t>
      </w:r>
    </w:p>
    <w:p w14:paraId="5218964C" w14:textId="5361DD04" w:rsidR="002C4D16" w:rsidRPr="00FC69BE" w:rsidRDefault="528F926D" w:rsidP="00011BF5">
      <w:pPr>
        <w:pStyle w:val="Heading4"/>
      </w:pPr>
      <w:r>
        <w:t xml:space="preserve">Sustainability </w:t>
      </w:r>
      <w:r w:rsidR="47032DA0">
        <w:t>s</w:t>
      </w:r>
      <w:r>
        <w:t xml:space="preserve">tandards </w:t>
      </w:r>
    </w:p>
    <w:p w14:paraId="52AEA83B" w14:textId="32D3D5BA" w:rsidR="00E30091" w:rsidRDefault="23B818C7" w:rsidP="00011BF5">
      <w:pPr>
        <w:spacing w:line="240" w:lineRule="auto"/>
        <w:ind w:left="360"/>
        <w:rPr>
          <w:lang w:val="en-CA"/>
        </w:rPr>
      </w:pPr>
      <w:r w:rsidRPr="177858A2">
        <w:rPr>
          <w:lang w:val="en-CA"/>
        </w:rPr>
        <w:t xml:space="preserve">Examines </w:t>
      </w:r>
      <w:r w:rsidR="68C02E43" w:rsidRPr="177858A2">
        <w:rPr>
          <w:lang w:val="en-CA"/>
        </w:rPr>
        <w:t xml:space="preserve">panelists’ perceptions of </w:t>
      </w:r>
      <w:r w:rsidRPr="177858A2">
        <w:rPr>
          <w:lang w:val="en-CA"/>
        </w:rPr>
        <w:t>the level of support provided to local tourism-related businesses for meeting sustainability requirements</w:t>
      </w:r>
      <w:r w:rsidR="23C772E3" w:rsidRPr="177858A2">
        <w:rPr>
          <w:lang w:val="en-CA"/>
        </w:rPr>
        <w:t>.</w:t>
      </w:r>
    </w:p>
    <w:p w14:paraId="6DF7CFC5" w14:textId="5BCA7A6A" w:rsidR="002C4D16" w:rsidRPr="00FC69BE" w:rsidRDefault="67259D7C" w:rsidP="00011BF5">
      <w:pPr>
        <w:pStyle w:val="Heading4"/>
      </w:pPr>
      <w:r>
        <w:t>Sustainability funding</w:t>
      </w:r>
    </w:p>
    <w:p w14:paraId="15B0C2C1" w14:textId="515D2904" w:rsidR="00A4088D" w:rsidRPr="00701292" w:rsidRDefault="3E5D7A0F" w:rsidP="00FA0161">
      <w:pPr>
        <w:ind w:left="360"/>
        <w:rPr>
          <w:lang w:val="en-CA"/>
        </w:rPr>
      </w:pPr>
      <w:r>
        <w:t xml:space="preserve">Investigates </w:t>
      </w:r>
      <w:r w:rsidR="68C02E43" w:rsidRPr="177858A2">
        <w:rPr>
          <w:lang w:val="en-CA"/>
        </w:rPr>
        <w:t xml:space="preserve">panelists’ perceptions of </w:t>
      </w:r>
      <w:r>
        <w:t>the availability of funding for resilience and sustainability initiatives in tourism, considering both non-tourism funds and tourism-generated revenue (e.g., taxes and surcharges) to assess support for initiatives such as protecting attractions, promoting eco-friendly practices</w:t>
      </w:r>
      <w:r w:rsidR="6E99220D">
        <w:t xml:space="preserve"> and</w:t>
      </w:r>
      <w:r>
        <w:t xml:space="preserve"> enhancing crisis response procedures.</w:t>
      </w:r>
    </w:p>
    <w:p w14:paraId="70D965D8" w14:textId="0BF2B179" w:rsidR="004A32AC" w:rsidRPr="0050622D" w:rsidRDefault="004A32AC" w:rsidP="004A32AC">
      <w:r>
        <w:t>The individual performance criteria and the subsequent findings are shown in Table 4 below:</w:t>
      </w:r>
    </w:p>
    <w:p w14:paraId="022FB632" w14:textId="77777777" w:rsidR="006300E6" w:rsidRDefault="006300E6" w:rsidP="004A32AC">
      <w:pPr>
        <w:rPr>
          <w:b/>
          <w:bCs/>
          <w:i/>
          <w:iCs/>
        </w:rPr>
      </w:pPr>
    </w:p>
    <w:p w14:paraId="2CEE08BC" w14:textId="77777777" w:rsidR="006300E6" w:rsidRDefault="006300E6" w:rsidP="004A32AC">
      <w:pPr>
        <w:rPr>
          <w:b/>
          <w:bCs/>
          <w:i/>
          <w:iCs/>
        </w:rPr>
      </w:pPr>
    </w:p>
    <w:p w14:paraId="08E91A91" w14:textId="77777777" w:rsidR="006300E6" w:rsidRDefault="006300E6" w:rsidP="004A32AC">
      <w:pPr>
        <w:rPr>
          <w:b/>
          <w:bCs/>
          <w:i/>
          <w:iCs/>
        </w:rPr>
      </w:pPr>
    </w:p>
    <w:p w14:paraId="0EAA5AA8" w14:textId="77777777" w:rsidR="006300E6" w:rsidRDefault="006300E6" w:rsidP="004A32AC">
      <w:pPr>
        <w:rPr>
          <w:b/>
          <w:bCs/>
          <w:i/>
          <w:iCs/>
        </w:rPr>
      </w:pPr>
    </w:p>
    <w:p w14:paraId="05105A02" w14:textId="77777777" w:rsidR="006300E6" w:rsidRDefault="006300E6" w:rsidP="004A32AC">
      <w:pPr>
        <w:rPr>
          <w:b/>
          <w:bCs/>
          <w:i/>
          <w:iCs/>
        </w:rPr>
      </w:pPr>
    </w:p>
    <w:p w14:paraId="0C982347" w14:textId="77777777" w:rsidR="006300E6" w:rsidRDefault="006300E6" w:rsidP="004A32AC">
      <w:pPr>
        <w:rPr>
          <w:b/>
          <w:bCs/>
          <w:i/>
          <w:iCs/>
        </w:rPr>
      </w:pPr>
    </w:p>
    <w:p w14:paraId="3AD4C99A" w14:textId="77777777" w:rsidR="006300E6" w:rsidRDefault="006300E6" w:rsidP="004A32AC">
      <w:pPr>
        <w:rPr>
          <w:b/>
          <w:bCs/>
          <w:i/>
          <w:iCs/>
        </w:rPr>
      </w:pPr>
    </w:p>
    <w:p w14:paraId="5F2504BB" w14:textId="438E07FA" w:rsidR="004A32AC" w:rsidRPr="0050622D" w:rsidRDefault="004A32AC" w:rsidP="004A32AC">
      <w:pPr>
        <w:rPr>
          <w:b/>
          <w:bCs/>
          <w:i/>
          <w:iCs/>
        </w:rPr>
      </w:pPr>
      <w:r w:rsidRPr="0050622D">
        <w:rPr>
          <w:b/>
          <w:bCs/>
          <w:i/>
          <w:iCs/>
        </w:rPr>
        <w:lastRenderedPageBreak/>
        <w:t>Table 4. CSF 4 Qualitative performance criteria ratings</w:t>
      </w:r>
    </w:p>
    <w:tbl>
      <w:tblPr>
        <w:tblW w:w="5000" w:type="pct"/>
        <w:tblCellMar>
          <w:left w:w="0" w:type="dxa"/>
          <w:right w:w="0" w:type="dxa"/>
        </w:tblCellMar>
        <w:tblLook w:val="0420" w:firstRow="1" w:lastRow="0" w:firstColumn="0" w:lastColumn="0" w:noHBand="0" w:noVBand="1"/>
      </w:tblPr>
      <w:tblGrid>
        <w:gridCol w:w="1476"/>
        <w:gridCol w:w="1116"/>
        <w:gridCol w:w="7468"/>
      </w:tblGrid>
      <w:tr w:rsidR="004A32AC" w:rsidRPr="0050622D" w14:paraId="5DF5CA73" w14:textId="77777777" w:rsidTr="18E55A4C">
        <w:trPr>
          <w:trHeight w:val="673"/>
        </w:trPr>
        <w:tc>
          <w:tcPr>
            <w:tcW w:w="71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2A335E1D" w14:textId="77777777" w:rsidR="004A32AC" w:rsidRPr="00C90640" w:rsidRDefault="004A32AC" w:rsidP="00353979">
            <w:pPr>
              <w:jc w:val="center"/>
              <w:rPr>
                <w:color w:val="FFFFFF" w:themeColor="background1"/>
                <w:lang w:val="en-CA"/>
              </w:rPr>
            </w:pPr>
            <w:r w:rsidRPr="00C90640">
              <w:rPr>
                <w:b/>
                <w:bCs/>
                <w:color w:val="FFFFFF" w:themeColor="background1"/>
              </w:rPr>
              <w:t>Performance criteria</w:t>
            </w:r>
          </w:p>
        </w:tc>
        <w:tc>
          <w:tcPr>
            <w:tcW w:w="56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0FAE52C2" w14:textId="77777777" w:rsidR="004A32AC" w:rsidRPr="00C90640" w:rsidRDefault="004A32AC" w:rsidP="00353979">
            <w:pPr>
              <w:jc w:val="center"/>
              <w:rPr>
                <w:color w:val="FFFFFF" w:themeColor="background1"/>
                <w:lang w:val="en-CA"/>
              </w:rPr>
            </w:pPr>
            <w:r w:rsidRPr="00C90640">
              <w:rPr>
                <w:b/>
                <w:bCs/>
                <w:color w:val="FFFFFF" w:themeColor="background1"/>
              </w:rPr>
              <w:t>Rating</w:t>
            </w:r>
          </w:p>
        </w:tc>
        <w:tc>
          <w:tcPr>
            <w:tcW w:w="3724"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2DA9963F" w14:textId="77777777" w:rsidR="004A32AC" w:rsidRPr="00C90640" w:rsidRDefault="004A32AC" w:rsidP="00353979">
            <w:pPr>
              <w:jc w:val="center"/>
              <w:rPr>
                <w:color w:val="FFFFFF" w:themeColor="background1"/>
                <w:lang w:val="en-CA"/>
              </w:rPr>
            </w:pPr>
            <w:r w:rsidRPr="00C90640">
              <w:rPr>
                <w:b/>
                <w:bCs/>
                <w:color w:val="FFFFFF" w:themeColor="background1"/>
              </w:rPr>
              <w:t>Findings</w:t>
            </w:r>
          </w:p>
        </w:tc>
      </w:tr>
      <w:tr w:rsidR="004A32AC" w:rsidRPr="0050622D" w14:paraId="36735E0A" w14:textId="77777777" w:rsidTr="18E55A4C">
        <w:trPr>
          <w:trHeight w:val="1024"/>
        </w:trPr>
        <w:tc>
          <w:tcPr>
            <w:tcW w:w="71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39647645" w14:textId="77777777" w:rsidR="004A32AC" w:rsidRPr="0050622D" w:rsidRDefault="004A32AC" w:rsidP="00353979">
            <w:pPr>
              <w:jc w:val="center"/>
              <w:rPr>
                <w:b/>
                <w:bCs/>
                <w:lang w:val="en-CA"/>
              </w:rPr>
            </w:pPr>
            <w:r w:rsidRPr="0050622D">
              <w:rPr>
                <w:b/>
                <w:bCs/>
              </w:rPr>
              <w:t>Risk-Informed public investments</w:t>
            </w:r>
          </w:p>
        </w:tc>
        <w:tc>
          <w:tcPr>
            <w:tcW w:w="566"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E19FC66" w14:textId="77777777" w:rsidR="004A32AC" w:rsidRPr="0050622D" w:rsidRDefault="004A32AC" w:rsidP="00353979">
            <w:pPr>
              <w:jc w:val="center"/>
              <w:rPr>
                <w:lang w:val="en-CA"/>
              </w:rPr>
            </w:pPr>
            <w:r w:rsidRPr="0050622D">
              <w:rPr>
                <w:lang w:val="en-CA"/>
              </w:rPr>
              <w:t>4</w:t>
            </w:r>
          </w:p>
        </w:tc>
        <w:tc>
          <w:tcPr>
            <w:tcW w:w="3724"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25F4ABE6" w14:textId="77777777" w:rsidR="004A32AC" w:rsidRPr="0050622D" w:rsidRDefault="004A32AC" w:rsidP="00353979">
            <w:r>
              <w:t>Panelists said most public-sector investments in infrastructure and tourism projects are contingent upon the projects being risk-informed, with relevant projects incorporating multi-hazard vulnerability/risk studies.</w:t>
            </w:r>
          </w:p>
        </w:tc>
      </w:tr>
      <w:tr w:rsidR="004A32AC" w:rsidRPr="0050622D" w14:paraId="65FDADC0" w14:textId="77777777" w:rsidTr="18E55A4C">
        <w:trPr>
          <w:trHeight w:val="771"/>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02EB640D" w14:textId="77777777" w:rsidR="004A32AC" w:rsidRPr="0050622D" w:rsidRDefault="004A32AC" w:rsidP="00353979">
            <w:pPr>
              <w:jc w:val="center"/>
              <w:rPr>
                <w:b/>
                <w:bCs/>
                <w:lang w:val="en-CA"/>
              </w:rPr>
            </w:pPr>
            <w:r w:rsidRPr="0050622D">
              <w:rPr>
                <w:b/>
                <w:bCs/>
              </w:rPr>
              <w:t xml:space="preserve">Resilience initiatives and tourism assets </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1B6A05F7" w14:textId="77777777" w:rsidR="004A32AC" w:rsidRPr="0050622D" w:rsidRDefault="004A32AC" w:rsidP="00353979">
            <w:pPr>
              <w:jc w:val="center"/>
              <w:rPr>
                <w:lang w:val="en-CA"/>
              </w:rPr>
            </w:pPr>
            <w:r w:rsidRPr="0050622D">
              <w:t>3</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4D7393E6" w14:textId="788F208E" w:rsidR="004A32AC" w:rsidRPr="0050622D" w:rsidRDefault="004A32AC" w:rsidP="00353979">
            <w:r>
              <w:t>Panelists</w:t>
            </w:r>
            <w:r w:rsidR="00D00312">
              <w:t xml:space="preserve"> report there</w:t>
            </w:r>
            <w:r>
              <w:t xml:space="preserve"> is some level of investment (i.e., programs and resources) in resilience initiatives to protect tourism assets, businesses and infrastructure.</w:t>
            </w:r>
          </w:p>
        </w:tc>
      </w:tr>
      <w:tr w:rsidR="004A32AC" w:rsidRPr="0050622D" w14:paraId="039105C3" w14:textId="77777777" w:rsidTr="18E55A4C">
        <w:trPr>
          <w:trHeight w:val="1024"/>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FFF9EBA" w14:textId="77777777" w:rsidR="004A32AC" w:rsidRPr="0050622D" w:rsidRDefault="004A32AC" w:rsidP="00353979">
            <w:pPr>
              <w:jc w:val="center"/>
              <w:rPr>
                <w:b/>
                <w:bCs/>
                <w:lang w:val="en-CA"/>
              </w:rPr>
            </w:pPr>
            <w:r w:rsidRPr="0050622D">
              <w:rPr>
                <w:b/>
                <w:bCs/>
                <w:lang w:val="en-CA"/>
              </w:rPr>
              <w:t>Prioritization of tourism product diversification</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1C7928B4" w14:textId="77777777" w:rsidR="004A32AC" w:rsidRPr="0050622D" w:rsidRDefault="004A32AC" w:rsidP="00353979">
            <w:pPr>
              <w:jc w:val="center"/>
              <w:rPr>
                <w:lang w:val="en-CA"/>
              </w:rPr>
            </w:pPr>
            <w:r w:rsidRPr="0050622D">
              <w:t>3</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6F1B40C7" w14:textId="77777777" w:rsidR="004A32AC" w:rsidRPr="0050622D" w:rsidRDefault="004A32AC" w:rsidP="00353979">
            <w:r>
              <w:t>Panelists said there is partial prioritization, i.e., some efforts are made to diversify tourism products, experiences and interpretation.</w:t>
            </w:r>
          </w:p>
        </w:tc>
      </w:tr>
      <w:tr w:rsidR="004A32AC" w:rsidRPr="0050622D" w14:paraId="7C12CCDA" w14:textId="77777777" w:rsidTr="18E55A4C">
        <w:trPr>
          <w:trHeight w:val="632"/>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D96B9DE" w14:textId="3A79243F" w:rsidR="004A32AC" w:rsidRPr="0050622D" w:rsidRDefault="004A32AC" w:rsidP="00353979">
            <w:pPr>
              <w:jc w:val="center"/>
              <w:rPr>
                <w:b/>
                <w:bCs/>
                <w:lang w:val="en-CA"/>
              </w:rPr>
            </w:pPr>
            <w:r w:rsidRPr="0050622D">
              <w:rPr>
                <w:b/>
                <w:bCs/>
              </w:rPr>
              <w:t>Risk transfer strategies</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4A65640C" w14:textId="09057615" w:rsidR="004A32AC" w:rsidRPr="0050622D" w:rsidRDefault="004A32AC" w:rsidP="00353979">
            <w:pPr>
              <w:jc w:val="center"/>
              <w:rPr>
                <w:lang w:val="en-CA"/>
              </w:rPr>
            </w:pPr>
            <w:r w:rsidRPr="0050622D">
              <w:rPr>
                <w:lang w:val="en-CA"/>
              </w:rPr>
              <w:t>3</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2EBBF781" w14:textId="0C43B8A4" w:rsidR="004A32AC" w:rsidRPr="0050622D" w:rsidRDefault="004A32AC" w:rsidP="00353979">
            <w:r>
              <w:t xml:space="preserve">The region has applied some risk transfer measures (e.g., insurance, reserves, climate bonds) to specific tourism assets in panelists’ opinions. </w:t>
            </w:r>
          </w:p>
        </w:tc>
      </w:tr>
      <w:tr w:rsidR="004A32AC" w:rsidRPr="0050622D" w14:paraId="6EB1EB59" w14:textId="77777777" w:rsidTr="18E55A4C">
        <w:trPr>
          <w:trHeight w:val="632"/>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7849C1DA" w14:textId="3F6BB7C7" w:rsidR="004A32AC" w:rsidRPr="0050622D" w:rsidRDefault="004A32AC" w:rsidP="00353979">
            <w:pPr>
              <w:jc w:val="center"/>
              <w:rPr>
                <w:b/>
                <w:bCs/>
                <w:lang w:val="en-CA"/>
              </w:rPr>
            </w:pPr>
            <w:r w:rsidRPr="0050622D">
              <w:rPr>
                <w:b/>
                <w:bCs/>
              </w:rPr>
              <w:t>Transportation infrastructure</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409EAF5F" w14:textId="51FD2F60" w:rsidR="004A32AC" w:rsidRPr="0050622D" w:rsidRDefault="004A32AC" w:rsidP="00353979">
            <w:pPr>
              <w:jc w:val="center"/>
              <w:rPr>
                <w:lang w:val="en-CA"/>
              </w:rPr>
            </w:pPr>
            <w:r w:rsidRPr="0050622D">
              <w:t>2.5</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22BAAE00" w14:textId="56F8B5F0" w:rsidR="004A32AC" w:rsidRPr="0050622D" w:rsidRDefault="004A32AC" w:rsidP="00353979">
            <w:r>
              <w:t>Panelists report that the region-wide visitor journey is significantly dependent on personal vehicular travel</w:t>
            </w:r>
            <w:r w:rsidR="00132D76">
              <w:t xml:space="preserve"> </w:t>
            </w:r>
            <w:r>
              <w:t xml:space="preserve">versus public transportation. Although </w:t>
            </w:r>
            <w:r w:rsidR="00D00312">
              <w:t>clean mobility</w:t>
            </w:r>
            <w:r>
              <w:t xml:space="preserve"> options</w:t>
            </w:r>
            <w:r w:rsidR="00D00312">
              <w:t>,</w:t>
            </w:r>
            <w:r w:rsidR="00132D76">
              <w:t xml:space="preserve"> </w:t>
            </w:r>
            <w:r>
              <w:t>such as bike sharing and lanes, multi-use paths, electric buses and trains</w:t>
            </w:r>
            <w:r w:rsidR="00D00312">
              <w:t>,</w:t>
            </w:r>
            <w:r w:rsidR="00132D76">
              <w:t xml:space="preserve"> </w:t>
            </w:r>
            <w:r>
              <w:t>are available in many locations, they are minimally utilized by visitors.</w:t>
            </w:r>
          </w:p>
        </w:tc>
      </w:tr>
      <w:tr w:rsidR="004A32AC" w:rsidRPr="0050622D" w14:paraId="04BF7392" w14:textId="77777777" w:rsidTr="18E55A4C">
        <w:trPr>
          <w:trHeight w:val="632"/>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3A9E9BC2" w14:textId="5733B617" w:rsidR="004A32AC" w:rsidRPr="0050622D" w:rsidRDefault="004A32AC" w:rsidP="00353979">
            <w:pPr>
              <w:jc w:val="center"/>
              <w:rPr>
                <w:b/>
                <w:bCs/>
                <w:lang w:val="en-CA"/>
              </w:rPr>
            </w:pPr>
            <w:r w:rsidRPr="0050622D">
              <w:rPr>
                <w:b/>
                <w:bCs/>
              </w:rPr>
              <w:t>Sustainability standards</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71CA4700" w14:textId="77777777" w:rsidR="004A32AC" w:rsidRPr="0050622D" w:rsidRDefault="004A32AC" w:rsidP="00353979">
            <w:pPr>
              <w:jc w:val="center"/>
              <w:rPr>
                <w:lang w:val="en-CA"/>
              </w:rPr>
            </w:pPr>
            <w:r w:rsidRPr="0050622D">
              <w:t>2</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7812CFEB" w14:textId="06E49C77" w:rsidR="004A32AC" w:rsidRPr="0050622D" w:rsidRDefault="004A32AC" w:rsidP="00353979">
            <w:r>
              <w:t>Panelists’ perception is that local tourism-related businesses receive limited support with minimal resources tied to meeting sustainability standards.</w:t>
            </w:r>
          </w:p>
        </w:tc>
      </w:tr>
      <w:tr w:rsidR="004A32AC" w:rsidRPr="0050622D" w14:paraId="070CBA45" w14:textId="77777777" w:rsidTr="18E55A4C">
        <w:trPr>
          <w:trHeight w:val="632"/>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3FC14BA1" w14:textId="2A148E01" w:rsidR="004A32AC" w:rsidRPr="0050622D" w:rsidRDefault="004A32AC" w:rsidP="00353979">
            <w:pPr>
              <w:jc w:val="center"/>
              <w:rPr>
                <w:b/>
                <w:bCs/>
                <w:lang w:val="en-CA"/>
              </w:rPr>
            </w:pPr>
            <w:r w:rsidRPr="0050622D">
              <w:rPr>
                <w:b/>
                <w:bCs/>
              </w:rPr>
              <w:t>Sustainability funding</w:t>
            </w:r>
          </w:p>
        </w:tc>
        <w:tc>
          <w:tcPr>
            <w:tcW w:w="5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757F440A" w14:textId="7C4F57CF" w:rsidR="004A32AC" w:rsidRPr="0050622D" w:rsidRDefault="004A32AC" w:rsidP="00353979">
            <w:pPr>
              <w:jc w:val="center"/>
              <w:rPr>
                <w:lang w:val="en-CA"/>
              </w:rPr>
            </w:pPr>
            <w:r w:rsidRPr="0050622D">
              <w:t>2.5</w:t>
            </w:r>
          </w:p>
        </w:tc>
        <w:tc>
          <w:tcPr>
            <w:tcW w:w="37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2E622AB2" w14:textId="0E1C49AF" w:rsidR="004A32AC" w:rsidRPr="0050622D" w:rsidRDefault="004A32AC" w:rsidP="00353979">
            <w:r>
              <w:t>Panelists report that</w:t>
            </w:r>
            <w:r w:rsidR="00270CF7">
              <w:t xml:space="preserve"> a</w:t>
            </w:r>
            <w:r>
              <w:t xml:space="preserve"> moderate </w:t>
            </w:r>
            <w:r w:rsidR="00270CF7">
              <w:t xml:space="preserve">amount of </w:t>
            </w:r>
            <w:r>
              <w:t xml:space="preserve">funds are allocated to support resilience and sustainability initiatives specifically related to tourism. Limited </w:t>
            </w:r>
            <w:r w:rsidR="00270CF7">
              <w:t xml:space="preserve">revenue </w:t>
            </w:r>
            <w:r>
              <w:t>from tourism</w:t>
            </w:r>
            <w:r w:rsidR="00270CF7">
              <w:t>,</w:t>
            </w:r>
            <w:r>
              <w:t xml:space="preserve"> such as TOT, surcharges from admissions to attractions and/or events, ride-share companies and taxis, is utilized to support resilience and sustainability initiatives specifically related to tourism.</w:t>
            </w:r>
          </w:p>
        </w:tc>
      </w:tr>
    </w:tbl>
    <w:p w14:paraId="091048B4" w14:textId="77777777" w:rsidR="00421FBB" w:rsidRDefault="00421FBB" w:rsidP="18E55A4C">
      <w:pPr>
        <w:jc w:val="center"/>
      </w:pPr>
    </w:p>
    <w:p w14:paraId="50921156" w14:textId="3F195D5C" w:rsidR="004A32AC" w:rsidRPr="0050622D" w:rsidRDefault="004A32AC" w:rsidP="00421FBB">
      <w:pPr>
        <w:jc w:val="center"/>
      </w:pPr>
      <w:r>
        <w:rPr>
          <w:noProof/>
        </w:rPr>
        <mc:AlternateContent>
          <mc:Choice Requires="wps">
            <w:drawing>
              <wp:inline distT="45720" distB="45720" distL="114300" distR="114300" wp14:anchorId="0B958422" wp14:editId="0B8928F7">
                <wp:extent cx="5029200" cy="715188"/>
                <wp:effectExtent l="25400" t="25400" r="38100" b="34290"/>
                <wp:docPr id="1402686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15188"/>
                        </a:xfrm>
                        <a:prstGeom prst="rect">
                          <a:avLst/>
                        </a:prstGeom>
                        <a:solidFill>
                          <a:srgbClr val="FFFFFF"/>
                        </a:solidFill>
                        <a:ln w="57150" cmpd="thickThin">
                          <a:solidFill>
                            <a:srgbClr val="000000"/>
                          </a:solidFill>
                          <a:miter lim="800000"/>
                          <a:headEnd/>
                          <a:tailEnd/>
                        </a:ln>
                      </wps:spPr>
                      <wps:txbx>
                        <w:txbxContent>
                          <w:p w14:paraId="311A12D9" w14:textId="77777777" w:rsidR="004A32AC" w:rsidRPr="002C366E" w:rsidRDefault="004A32AC" w:rsidP="004A32AC">
                            <w:pPr>
                              <w:spacing w:before="160"/>
                              <w:jc w:val="center"/>
                            </w:pPr>
                            <w:r w:rsidRPr="002C366E">
                              <w:t>"Initiatives seem to be legislated at a state or local level, but the requisite funding opportunities are limited, insufficient or stakeholders are unaware of them.”</w:t>
                            </w:r>
                          </w:p>
                        </w:txbxContent>
                      </wps:txbx>
                      <wps:bodyPr rot="0" vert="horz" wrap="square" lIns="91440" tIns="45720" rIns="91440" bIns="45720" anchor="t" anchorCtr="0">
                        <a:noAutofit/>
                      </wps:bodyPr>
                    </wps:wsp>
                  </a:graphicData>
                </a:graphic>
              </wp:inline>
            </w:drawing>
          </mc:Choice>
          <mc:Fallback>
            <w:pict>
              <v:shape w14:anchorId="0B958422" id="_x0000_s1030" type="#_x0000_t202" style="width:396pt;height: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" strokeweight="4.5pt">
                <v:stroke linestyle="thickThin"/>
                <v:textbox>
                  <w:txbxContent>
                    <w:p w14:paraId="311A12D9" w14:textId="77777777" w:rsidR="004A32AC" w:rsidRPr="002C366E" w:rsidRDefault="004A32AC" w:rsidP="004A32AC">
                      <w:pPr>
                        <w:spacing w:before="160"/>
                        <w:jc w:val="center"/>
                      </w:pPr>
                      <w:r w:rsidRPr="002C366E">
                        <w:t>"Initiatives seem to be legislated at a state or local level, but the requisite funding opportunities are limited, insufficient or stakeholders are unaware of them.”</w:t>
                      </w:r>
                    </w:p>
                  </w:txbxContent>
                </v:textbox>
                <w10:anchorlock/>
              </v:shape>
            </w:pict>
          </mc:Fallback>
        </mc:AlternateContent>
      </w:r>
    </w:p>
    <w:p w14:paraId="0EAFEB95" w14:textId="525C3424" w:rsidR="004A32AC" w:rsidRDefault="004A32AC">
      <w:pPr>
        <w:spacing w:line="278" w:lineRule="auto"/>
      </w:pPr>
      <w:r>
        <w:br w:type="page"/>
      </w:r>
    </w:p>
    <w:p w14:paraId="6FA1340A" w14:textId="061260C7" w:rsidR="00820ED4" w:rsidRPr="002E45A9" w:rsidRDefault="004A32AC" w:rsidP="00402C32">
      <w:pPr>
        <w:pStyle w:val="Heading1"/>
        <w:rPr>
          <w:noProof/>
        </w:rPr>
      </w:pPr>
      <w:r>
        <w:lastRenderedPageBreak/>
        <w:t>C</w:t>
      </w:r>
      <w:r w:rsidR="00820ED4" w:rsidRPr="002E45A9">
        <w:t xml:space="preserve">SF 5 </w:t>
      </w:r>
      <w:r w:rsidR="00142485">
        <w:t xml:space="preserve">— </w:t>
      </w:r>
      <w:r w:rsidR="00820ED4" w:rsidRPr="002E45A9">
        <w:t xml:space="preserve">Managing </w:t>
      </w:r>
      <w:r w:rsidR="00820ED4" w:rsidRPr="002E45A9" w:rsidDel="00245307">
        <w:t>Growth</w:t>
      </w:r>
      <w:r w:rsidR="00820ED4" w:rsidRPr="002E45A9" w:rsidDel="00245307">
        <w:rPr>
          <w:noProof/>
        </w:rPr>
        <w:t xml:space="preserve"> </w:t>
      </w:r>
    </w:p>
    <w:p w14:paraId="3FFA4EE9" w14:textId="0DB4E577" w:rsidR="00C46058" w:rsidRPr="002E45A9" w:rsidRDefault="00C46058" w:rsidP="00C46058">
      <w:r>
        <w:t xml:space="preserve">This CSF evaluates </w:t>
      </w:r>
      <w:r w:rsidR="00E30091">
        <w:t>how tourism strategies address seasonality, visitor distribution, responsible travel, visitor flow monitoring and marketing practices.</w:t>
      </w:r>
    </w:p>
    <w:p w14:paraId="7481CC1B" w14:textId="19D5CFD0" w:rsidR="5DCC6A14" w:rsidRDefault="5DCC6A14" w:rsidP="57D7F1AB">
      <w:pPr>
        <w:pStyle w:val="Heading3"/>
      </w:pPr>
      <w:r>
        <w:t>CSF 5 key findings</w:t>
      </w:r>
    </w:p>
    <w:p w14:paraId="0E42A77B" w14:textId="77777777" w:rsidR="00B133AA" w:rsidRDefault="00B133AA" w:rsidP="00B133AA">
      <w:r>
        <w:t>Los Angeles County’s approach to managing sustainable tourism growth reveals a mixed picture of moderate performance and clear opportunities for improvement. The composite rating is 44 out of 100, reflecting a region with strong foundational assets but uneven implementation of strategies that promote long-term tourism sustainability.</w:t>
      </w:r>
    </w:p>
    <w:p w14:paraId="2E1FE2E4" w14:textId="77777777" w:rsidR="00B133AA" w:rsidRDefault="00B133AA" w:rsidP="00B133AA">
      <w:r>
        <w:t>The region performs well in managing tourism pressure (79 out of 100), indicating effective oversight of tourism’s impact on infrastructure and local populations. Moderate scores are seen in hospitality employment (57 out of 100), attraction quality (57 out of 100), variety of attractions per overnight visitor (56 out of 100) and seasonality (55 out of 100). These metrics suggest a healthy tourism workforce and well-regarded visitor experiences, along with reasonable diversity in tourism offerings and modest success in supporting year-round tourism demand.</w:t>
      </w:r>
    </w:p>
    <w:p w14:paraId="18500A11" w14:textId="6EB2F7D6" w:rsidR="00B133AA" w:rsidRDefault="3417241D" w:rsidP="00B133AA">
      <w:r>
        <w:t>T</w:t>
      </w:r>
      <w:r w:rsidR="00B133AA">
        <w:t xml:space="preserve">he region’s greatest challenge lies in traffic congestion </w:t>
      </w:r>
      <w:r w:rsidR="00B66C5F">
        <w:t>(</w:t>
      </w:r>
      <w:r w:rsidR="00B133AA">
        <w:t>5 out of 100</w:t>
      </w:r>
      <w:r w:rsidR="00B66C5F">
        <w:t>)</w:t>
      </w:r>
      <w:r w:rsidR="00B133AA">
        <w:t>, highlighting a major issue that affects both visitors and residents. Tourism infrastructure utilization (52 out of 100) indicat</w:t>
      </w:r>
      <w:r w:rsidR="00DC7433">
        <w:t>es</w:t>
      </w:r>
      <w:r w:rsidR="00B133AA">
        <w:t xml:space="preserve"> that existing assets may not be used to their full potential.</w:t>
      </w:r>
    </w:p>
    <w:p w14:paraId="27AA452E" w14:textId="365F682A" w:rsidR="00B133AA" w:rsidRDefault="00B133AA" w:rsidP="00B133AA">
      <w:r>
        <w:t xml:space="preserve">There are also social dynamics at play. Panelists note a </w:t>
      </w:r>
      <w:r w:rsidR="00A83805">
        <w:t xml:space="preserve">strained </w:t>
      </w:r>
      <w:r>
        <w:t>relationship between residents and tourism, particularly in areas where community members do not directly benefit from tourism-related businesses. In these locations, some residents express a preference for fewer visitors, highlighting the need for a balanced approach</w:t>
      </w:r>
      <w:r w:rsidR="00132D76">
        <w:t xml:space="preserve"> </w:t>
      </w:r>
      <w:r>
        <w:t>that maximizes the cultural and economic value of tourism while addressing impact</w:t>
      </w:r>
      <w:r w:rsidR="00A83805">
        <w:t>s</w:t>
      </w:r>
      <w:r>
        <w:t xml:space="preserve"> on community life.</w:t>
      </w:r>
    </w:p>
    <w:p w14:paraId="336E0E0B" w14:textId="77777777" w:rsidR="00B133AA" w:rsidRDefault="00B133AA" w:rsidP="00B133AA">
      <w:r>
        <w:t>Los Angeles County demonstrates potential to be a leader in sustainable tourism. Strengthening regional coordination, investing in infrastructure that eases congestion and supporting off-peak and place-based tourism strategies could help address the current challenges. By building on its existing strengths and aligning tourism management practices across jurisdictions, the county can more effectively balance visitor demand with community well-being and environmental sustainability.</w:t>
      </w:r>
    </w:p>
    <w:p w14:paraId="0033D545" w14:textId="77777777" w:rsidR="00E005EE" w:rsidRDefault="00E005EE" w:rsidP="00B133AA"/>
    <w:p w14:paraId="201D8C79" w14:textId="77777777" w:rsidR="00B133AA" w:rsidRPr="0050622D" w:rsidRDefault="00B133AA" w:rsidP="00B133AA">
      <w:pPr>
        <w:jc w:val="center"/>
      </w:pPr>
      <w:r w:rsidRPr="0050622D">
        <w:rPr>
          <w:noProof/>
        </w:rPr>
        <w:drawing>
          <wp:inline distT="0" distB="0" distL="0" distR="0" wp14:anchorId="04F67B91" wp14:editId="4CB7436E">
            <wp:extent cx="6400800" cy="2203528"/>
            <wp:effectExtent l="0" t="0" r="0" b="6350"/>
            <wp:docPr id="147015391"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5391" name="Picture 8" descr="A screenshot of a computer&#10;&#10;AI-generated content may be incorrect."/>
                    <pic:cNvPicPr>
                      <a:picLocks noChangeAspect="1" noChangeArrowheads="1"/>
                    </pic:cNvPicPr>
                  </pic:nvPicPr>
                  <pic:blipFill rotWithShape="1">
                    <a:blip r:embed="rId52">
                      <a:extLst>
                        <a:ext uri="{28A0092B-C50C-407E-A947-70E740481C1C}">
                          <a14:useLocalDpi xmlns:a14="http://schemas.microsoft.com/office/drawing/2010/main" val="0"/>
                        </a:ext>
                      </a:extLst>
                    </a:blip>
                    <a:srcRect r="4428"/>
                    <a:stretch/>
                  </pic:blipFill>
                  <pic:spPr bwMode="auto">
                    <a:xfrm>
                      <a:off x="0" y="0"/>
                      <a:ext cx="6400800" cy="2203528"/>
                    </a:xfrm>
                    <a:prstGeom prst="rect">
                      <a:avLst/>
                    </a:prstGeom>
                    <a:noFill/>
                    <a:ln>
                      <a:noFill/>
                    </a:ln>
                    <a:extLst>
                      <a:ext uri="{53640926-AAD7-44D8-BBD7-CCE9431645EC}">
                        <a14:shadowObscured xmlns:a14="http://schemas.microsoft.com/office/drawing/2010/main"/>
                      </a:ext>
                    </a:extLst>
                  </pic:spPr>
                </pic:pic>
              </a:graphicData>
            </a:graphic>
          </wp:inline>
        </w:drawing>
      </w:r>
      <w:r w:rsidRPr="0050622D" w:rsidDel="00142D69">
        <w:rPr>
          <w:noProof/>
        </w:rPr>
        <w:t xml:space="preserve"> </w:t>
      </w:r>
    </w:p>
    <w:p w14:paraId="28A2B495" w14:textId="77777777" w:rsidR="00B133AA" w:rsidRPr="0050622D" w:rsidRDefault="00B133AA" w:rsidP="00B133AA">
      <w:pPr>
        <w:pStyle w:val="Heading3"/>
      </w:pPr>
      <w:r>
        <w:lastRenderedPageBreak/>
        <w:t>CSF 5 quantitative rating description</w:t>
      </w:r>
    </w:p>
    <w:p w14:paraId="41ED5E20" w14:textId="0E36417F" w:rsidR="00134281" w:rsidRPr="002E45A9" w:rsidRDefault="00134281" w:rsidP="00F80E54">
      <w:r w:rsidRPr="002E45A9">
        <w:t>CSF 5</w:t>
      </w:r>
      <w:r w:rsidR="00CF40F1" w:rsidRPr="002E45A9">
        <w:t xml:space="preserve"> </w:t>
      </w:r>
      <w:r w:rsidR="000D56C9">
        <w:t>explores</w:t>
      </w:r>
      <w:r w:rsidR="00CF40F1" w:rsidRPr="002E45A9">
        <w:t xml:space="preserve"> the region’s tourism economy and potential for </w:t>
      </w:r>
      <w:r w:rsidR="00923906" w:rsidRPr="002E45A9">
        <w:t>sustainable growth in the industry:</w:t>
      </w:r>
      <w:r w:rsidR="00923906" w:rsidRPr="002E45A9">
        <w:rPr>
          <w:rStyle w:val="CommentReference"/>
          <w:kern w:val="0"/>
          <w:lang w:val="en-CA" w:eastAsia="en-CA"/>
          <w14:ligatures w14:val="none"/>
        </w:rPr>
        <w:t xml:space="preserve"> </w:t>
      </w:r>
    </w:p>
    <w:p w14:paraId="08AFBA44" w14:textId="031BE5CB" w:rsidR="00F80E54" w:rsidRPr="002E45A9" w:rsidRDefault="00037E30" w:rsidP="00B0390A">
      <w:pPr>
        <w:pStyle w:val="Heading4"/>
      </w:pPr>
      <w:r w:rsidRPr="002E45A9">
        <w:t xml:space="preserve">Hospitality </w:t>
      </w:r>
      <w:r w:rsidR="00AC000B">
        <w:t>employment</w:t>
      </w:r>
    </w:p>
    <w:p w14:paraId="0078B608" w14:textId="5889D5D6" w:rsidR="00D11A0F" w:rsidRDefault="00D11A0F" w:rsidP="004D0D34">
      <w:pPr>
        <w:ind w:left="360"/>
        <w:rPr>
          <w:i/>
          <w:iCs/>
        </w:rPr>
      </w:pPr>
      <w:r w:rsidRPr="00D11A0F">
        <w:t>Measures the total number of people employed in jobs related to accommodations, food service</w:t>
      </w:r>
      <w:r w:rsidR="00C63F45">
        <w:t xml:space="preserve"> and</w:t>
      </w:r>
      <w:r w:rsidRPr="00D11A0F">
        <w:t xml:space="preserve"> other visitor-serving industries in the region</w:t>
      </w:r>
      <w:r w:rsidR="00EB1C29">
        <w:t>.</w:t>
      </w:r>
    </w:p>
    <w:p w14:paraId="55A9ECF2" w14:textId="39946989" w:rsidR="00037E30" w:rsidRDefault="00037E30" w:rsidP="0084047F">
      <w:pPr>
        <w:pStyle w:val="Heading4"/>
      </w:pPr>
      <w:r>
        <w:t>3</w:t>
      </w:r>
      <w:r w:rsidR="004B09FF">
        <w:t>-star</w:t>
      </w:r>
      <w:r w:rsidR="00AC000B">
        <w:t xml:space="preserve"> or highe</w:t>
      </w:r>
      <w:r w:rsidR="007D1443">
        <w:t xml:space="preserve">r </w:t>
      </w:r>
      <w:r w:rsidR="00AC000B">
        <w:t>attraction</w:t>
      </w:r>
      <w:r w:rsidR="006915FC">
        <w:t>s</w:t>
      </w:r>
    </w:p>
    <w:p w14:paraId="640F6F12" w14:textId="663C3108" w:rsidR="00EB1C29" w:rsidRPr="00EB1C29" w:rsidRDefault="00EB1C29" w:rsidP="00EB1C29">
      <w:pPr>
        <w:ind w:left="360"/>
      </w:pPr>
      <w:r w:rsidRPr="00EB1C29">
        <w:t xml:space="preserve">Calculates the percentage of visitor attractions that have received three stars or higher reviews on </w:t>
      </w:r>
      <w:hyperlink r:id="rId53" w:history="1">
        <w:r w:rsidRPr="00257878">
          <w:rPr>
            <w:rStyle w:val="Hyperlink"/>
          </w:rPr>
          <w:t>TripAdvisor</w:t>
        </w:r>
      </w:hyperlink>
      <w:r>
        <w:t xml:space="preserve"> </w:t>
      </w:r>
      <w:r w:rsidRPr="00EB1C29">
        <w:t>out of the total attractions in the region.</w:t>
      </w:r>
    </w:p>
    <w:p w14:paraId="2436995E" w14:textId="1C0D6C4F" w:rsidR="00037E30" w:rsidRPr="002E45A9" w:rsidRDefault="005E5A97" w:rsidP="0084047F">
      <w:pPr>
        <w:pStyle w:val="Heading4"/>
      </w:pPr>
      <w:r>
        <w:t>A</w:t>
      </w:r>
      <w:r w:rsidR="00B05099">
        <w:t>ttractions</w:t>
      </w:r>
      <w:r>
        <w:t xml:space="preserve"> to </w:t>
      </w:r>
      <w:r w:rsidR="00B05099">
        <w:t>overnight visitor</w:t>
      </w:r>
      <w:r w:rsidR="706CE3D7">
        <w:t xml:space="preserve"> ratio</w:t>
      </w:r>
    </w:p>
    <w:p w14:paraId="4BF9D781" w14:textId="630F586A" w:rsidR="00EB1C29" w:rsidRPr="002E45A9" w:rsidRDefault="00EB1C29" w:rsidP="00F80E54">
      <w:pPr>
        <w:ind w:left="360"/>
      </w:pPr>
      <w:r w:rsidRPr="00D11A0F">
        <w:rPr>
          <w:lang w:val="en-CA"/>
        </w:rPr>
        <w:t>Computes the ratio of total tourist attractions to the number of overnight visitors, indicating the variety of experiences available per visitor.</w:t>
      </w:r>
    </w:p>
    <w:p w14:paraId="566C429B" w14:textId="2CFB1FB4" w:rsidR="00037E30" w:rsidRPr="002E45A9" w:rsidRDefault="00037E30" w:rsidP="0084047F">
      <w:pPr>
        <w:pStyle w:val="Heading4"/>
      </w:pPr>
      <w:r>
        <w:t xml:space="preserve">Seasonality </w:t>
      </w:r>
    </w:p>
    <w:p w14:paraId="39D47C8C" w14:textId="757C16C4" w:rsidR="00EB1C29" w:rsidRPr="00D11A0F" w:rsidRDefault="00EB1C29" w:rsidP="00EB1C29">
      <w:pPr>
        <w:ind w:left="360"/>
        <w:rPr>
          <w:lang w:val="en-CA"/>
        </w:rPr>
      </w:pPr>
      <w:r w:rsidRPr="00D11A0F">
        <w:rPr>
          <w:lang w:val="en-CA"/>
        </w:rPr>
        <w:t>Analyzes the occupancy rate of hotels during the least busy month</w:t>
      </w:r>
      <w:r w:rsidR="0008025D">
        <w:rPr>
          <w:lang w:val="en-CA"/>
        </w:rPr>
        <w:t xml:space="preserve"> within a given year</w:t>
      </w:r>
      <w:r w:rsidRPr="00D11A0F">
        <w:rPr>
          <w:lang w:val="en-CA"/>
        </w:rPr>
        <w:t>, reflecting the destination's seasonality and ability to attract visitors year-round.</w:t>
      </w:r>
    </w:p>
    <w:p w14:paraId="64561424" w14:textId="39BBB10F" w:rsidR="00037E30" w:rsidRPr="002E45A9" w:rsidRDefault="00037E30" w:rsidP="0084047F">
      <w:pPr>
        <w:pStyle w:val="Heading4"/>
      </w:pPr>
      <w:r w:rsidRPr="002E45A9">
        <w:t xml:space="preserve">Traffic </w:t>
      </w:r>
      <w:r w:rsidR="00B05099">
        <w:t>c</w:t>
      </w:r>
      <w:r w:rsidR="00B05099" w:rsidRPr="002E45A9">
        <w:t xml:space="preserve">ongestion </w:t>
      </w:r>
      <w:r w:rsidR="008B251B" w:rsidRPr="002E45A9">
        <w:t>(inverse)</w:t>
      </w:r>
    </w:p>
    <w:p w14:paraId="1A671800" w14:textId="4C0906A8" w:rsidR="00670F43" w:rsidRPr="00670F43" w:rsidRDefault="00D11A0F" w:rsidP="00670F43">
      <w:pPr>
        <w:ind w:left="360"/>
        <w:rPr>
          <w:lang w:val="en-CA"/>
        </w:rPr>
      </w:pPr>
      <w:r w:rsidRPr="1D4EFCFD">
        <w:rPr>
          <w:lang w:val="en-CA"/>
        </w:rPr>
        <w:t>Estimates 'peak hour' traffic at all points on the state highway system in the region, showing how near to capacity the highway is operating.</w:t>
      </w:r>
      <w:r w:rsidR="00E27631" w:rsidRPr="1D4EFCFD">
        <w:rPr>
          <w:lang w:val="en-CA"/>
        </w:rPr>
        <w:t xml:space="preserve"> </w:t>
      </w:r>
      <w:r w:rsidR="00670F43" w:rsidRPr="1D4EFCFD">
        <w:rPr>
          <w:lang w:val="en-CA"/>
        </w:rPr>
        <w:t>Peak hour values represent the total traffic volume in both directions during the busiest typical hour. While a small number of hours each year may have higher traffic volumes, the peak hour represents a more consistent high-traffic period. In urban and suburban areas, this peak hour typically occurs daily on weekdays, with approximately 200 hours per year showing similar traffic levels.</w:t>
      </w:r>
    </w:p>
    <w:p w14:paraId="00108B06" w14:textId="184CD6BC" w:rsidR="00670F43" w:rsidRPr="00670F43" w:rsidRDefault="00670F43" w:rsidP="00670F43">
      <w:pPr>
        <w:ind w:left="360"/>
        <w:rPr>
          <w:lang w:val="en-CA"/>
        </w:rPr>
      </w:pPr>
      <w:r w:rsidRPr="00670F43">
        <w:rPr>
          <w:lang w:val="en-CA"/>
        </w:rPr>
        <w:t xml:space="preserve">For roads with significant seasonal traffic variations, the peak hour is determined differently. </w:t>
      </w:r>
      <w:r w:rsidR="003D122F" w:rsidRPr="00670F43">
        <w:rPr>
          <w:lang w:val="en-CA"/>
        </w:rPr>
        <w:t>It is</w:t>
      </w:r>
      <w:r w:rsidRPr="00670F43">
        <w:rPr>
          <w:lang w:val="en-CA"/>
        </w:rPr>
        <w:t xml:space="preserve"> identified as one of the four busiest hours of the </w:t>
      </w:r>
      <w:r w:rsidR="007D351D" w:rsidRPr="00670F43">
        <w:rPr>
          <w:lang w:val="en-CA"/>
        </w:rPr>
        <w:t>year but</w:t>
      </w:r>
      <w:r w:rsidRPr="00670F43">
        <w:rPr>
          <w:lang w:val="en-CA"/>
        </w:rPr>
        <w:t xml:space="preserve"> excludes the 30 to 50 hours with the most extreme traffic levels. This approach ensures that the peak hour reflects a traffic volume that occurs frequently during the busy season, rather than including atypical spikes that </w:t>
      </w:r>
      <w:r w:rsidR="00835BB1" w:rsidRPr="00670F43">
        <w:rPr>
          <w:lang w:val="en-CA"/>
        </w:rPr>
        <w:t>do not</w:t>
      </w:r>
      <w:r w:rsidRPr="00670F43">
        <w:rPr>
          <w:lang w:val="en-CA"/>
        </w:rPr>
        <w:t xml:space="preserve"> represent regular conditions.</w:t>
      </w:r>
    </w:p>
    <w:p w14:paraId="654C9554" w14:textId="102B761B" w:rsidR="008B251B" w:rsidRPr="002E45A9" w:rsidRDefault="008B251B" w:rsidP="004E6C07">
      <w:pPr>
        <w:pStyle w:val="Heading4"/>
      </w:pPr>
      <w:r w:rsidRPr="002E45A9">
        <w:t xml:space="preserve">Tourism </w:t>
      </w:r>
      <w:r w:rsidR="000F7199">
        <w:t>p</w:t>
      </w:r>
      <w:r w:rsidR="000F7199" w:rsidRPr="002E45A9">
        <w:t xml:space="preserve">ressure </w:t>
      </w:r>
      <w:r w:rsidR="000F7199">
        <w:t>i</w:t>
      </w:r>
      <w:r>
        <w:t>ndex</w:t>
      </w:r>
      <w:r w:rsidRPr="002E45A9">
        <w:t xml:space="preserve"> (inverse)</w:t>
      </w:r>
    </w:p>
    <w:p w14:paraId="33362EAC" w14:textId="23CE4766" w:rsidR="00AA4068" w:rsidRDefault="00B34177" w:rsidP="00F80E54">
      <w:pPr>
        <w:ind w:left="360"/>
      </w:pPr>
      <w:r>
        <w:t>Measures</w:t>
      </w:r>
      <w:r w:rsidR="00611656">
        <w:t xml:space="preserve"> the ratio of overnight hotel stays to the local population and the density of overnight stays per square kilometer. Each factor is normalized by dividing by its maximum observed value, typically found in highly urbanized areas. The population share component reflects the impact of tourism on the local community, while the stays per square kilometer component indicates tourism intensity and infrastructure density. </w:t>
      </w:r>
    </w:p>
    <w:p w14:paraId="57FBA32A" w14:textId="42F1F8D6" w:rsidR="0084047F" w:rsidRPr="002E45A9" w:rsidRDefault="00611656" w:rsidP="00F80E54">
      <w:pPr>
        <w:ind w:left="360"/>
      </w:pPr>
      <w:r w:rsidRPr="002E45A9">
        <w:t xml:space="preserve">By averaging these two normalized ratios, the </w:t>
      </w:r>
      <w:r w:rsidR="00AA4068">
        <w:t>t</w:t>
      </w:r>
      <w:r w:rsidR="00AA4068" w:rsidRPr="002E45A9">
        <w:t xml:space="preserve">ourism </w:t>
      </w:r>
      <w:r w:rsidR="00AA4068">
        <w:t>p</w:t>
      </w:r>
      <w:r w:rsidR="00AA4068" w:rsidRPr="002E45A9">
        <w:t xml:space="preserve">ressure </w:t>
      </w:r>
      <w:r w:rsidR="00AA4068">
        <w:t>i</w:t>
      </w:r>
      <w:r>
        <w:t>ndex</w:t>
      </w:r>
      <w:r w:rsidRPr="002E45A9">
        <w:t xml:space="preserve"> provides a balanced measure of tourism's impact on both the local population and the physical environment. This approach allows for comparison across different regions, accounting for variations in population density and urbanization levels. Higher index values indicate greater tourism pressure on the destination.</w:t>
      </w:r>
    </w:p>
    <w:p w14:paraId="48EEF54C" w14:textId="468223BA" w:rsidR="008B251B" w:rsidRPr="002E45A9" w:rsidRDefault="008B251B" w:rsidP="0084047F">
      <w:pPr>
        <w:pStyle w:val="Heading4"/>
      </w:pPr>
      <w:r w:rsidRPr="002E45A9">
        <w:t xml:space="preserve">Tourism </w:t>
      </w:r>
      <w:r w:rsidR="00EE6CDA">
        <w:t>i</w:t>
      </w:r>
      <w:r>
        <w:t>nfrastructure</w:t>
      </w:r>
      <w:r w:rsidR="0084047F" w:rsidRPr="002E45A9" w:rsidDel="00EE6CDA">
        <w:t xml:space="preserve"> </w:t>
      </w:r>
      <w:r w:rsidR="00EE6CDA">
        <w:t>u</w:t>
      </w:r>
      <w:r w:rsidR="00EE6CDA" w:rsidRPr="002E45A9">
        <w:t xml:space="preserve">tilization </w:t>
      </w:r>
      <w:r w:rsidR="00EE6CDA">
        <w:t>i</w:t>
      </w:r>
      <w:r>
        <w:t>ndex</w:t>
      </w:r>
      <w:r w:rsidR="00397C33">
        <w:t xml:space="preserve"> (TIUI)</w:t>
      </w:r>
    </w:p>
    <w:p w14:paraId="254DA38F" w14:textId="794D4BAD" w:rsidR="00302631" w:rsidRPr="003D1EB9" w:rsidRDefault="00397C33" w:rsidP="00611656">
      <w:pPr>
        <w:ind w:left="360"/>
      </w:pPr>
      <w:r>
        <w:t>C</w:t>
      </w:r>
      <w:r w:rsidR="00124F1C">
        <w:t>ombines multiple indicators</w:t>
      </w:r>
      <w:r w:rsidR="00FD65DB">
        <w:t xml:space="preserve"> related to supply and demand of accommodation</w:t>
      </w:r>
      <w:r w:rsidR="00B218EE">
        <w:t>s</w:t>
      </w:r>
      <w:r w:rsidR="00FD65DB">
        <w:t xml:space="preserve"> (e.g. home rental listings as percentage of hotel rooms, home rental occupancy</w:t>
      </w:r>
      <w:r w:rsidR="004F7142">
        <w:t xml:space="preserve"> and others)</w:t>
      </w:r>
      <w:r w:rsidR="005D20B7">
        <w:t>,</w:t>
      </w:r>
      <w:r w:rsidR="00FD65DB">
        <w:t xml:space="preserve"> providing a holistic view of how well tourism </w:t>
      </w:r>
      <w:r w:rsidR="00FD65DB">
        <w:lastRenderedPageBreak/>
        <w:t xml:space="preserve">infrastructure is being </w:t>
      </w:r>
      <w:r w:rsidR="006B6072">
        <w:t>considered</w:t>
      </w:r>
      <w:r w:rsidR="00124F1C">
        <w:t xml:space="preserve"> to </w:t>
      </w:r>
      <w:r w:rsidR="00611656">
        <w:t xml:space="preserve">evaluate the utilization of tourism-related accommodation infrastructure across </w:t>
      </w:r>
      <w:r w:rsidR="00722401">
        <w:t>the region</w:t>
      </w:r>
      <w:r w:rsidR="00611656">
        <w:t xml:space="preserve">. </w:t>
      </w:r>
    </w:p>
    <w:p w14:paraId="1099F871" w14:textId="170B81E0" w:rsidR="00684B73" w:rsidRPr="002E45A9" w:rsidRDefault="004D3A9E" w:rsidP="00684B73">
      <w:pPr>
        <w:pStyle w:val="Heading3"/>
      </w:pPr>
      <w:r>
        <w:t>CSF 5 q</w:t>
      </w:r>
      <w:r w:rsidR="00684B73" w:rsidRPr="002E45A9">
        <w:t xml:space="preserve">ualitative </w:t>
      </w:r>
      <w:r>
        <w:t>r</w:t>
      </w:r>
      <w:r w:rsidRPr="002E45A9">
        <w:t xml:space="preserve">atings </w:t>
      </w:r>
      <w:r w:rsidR="00684B73" w:rsidRPr="002E45A9">
        <w:t xml:space="preserve">and </w:t>
      </w:r>
      <w:r>
        <w:t>findings</w:t>
      </w:r>
    </w:p>
    <w:p w14:paraId="1483B025" w14:textId="47761CBA" w:rsidR="002C4D16" w:rsidRPr="002E45A9" w:rsidRDefault="002C4D16" w:rsidP="002C4D16">
      <w:r w:rsidRPr="002E45A9">
        <w:t xml:space="preserve">Qualitatively, the panelists assessed the </w:t>
      </w:r>
      <w:r>
        <w:t xml:space="preserve">region </w:t>
      </w:r>
      <w:r w:rsidRPr="002E45A9">
        <w:t xml:space="preserve">on CSF 5 across the following </w:t>
      </w:r>
      <w:r w:rsidR="004D3A9E">
        <w:t xml:space="preserve">performance </w:t>
      </w:r>
      <w:r w:rsidRPr="002E45A9">
        <w:t>criteria:</w:t>
      </w:r>
    </w:p>
    <w:p w14:paraId="23FDC35F" w14:textId="4A25393B" w:rsidR="00A74182" w:rsidRPr="002E45A9" w:rsidRDefault="00A74182" w:rsidP="00B0390A">
      <w:pPr>
        <w:pStyle w:val="Heading4"/>
      </w:pPr>
      <w:r>
        <w:t xml:space="preserve">Managing </w:t>
      </w:r>
      <w:r w:rsidR="00CE74DA">
        <w:t>seasonality</w:t>
      </w:r>
    </w:p>
    <w:p w14:paraId="4D263D91" w14:textId="1E472625" w:rsidR="00E30091" w:rsidRDefault="79AC827C" w:rsidP="00011BF5">
      <w:pPr>
        <w:ind w:left="360"/>
      </w:pPr>
      <w:r>
        <w:t>Assesses a region's success in increasing off-peak tourism and managing peak visitor flow</w:t>
      </w:r>
      <w:r w:rsidR="124EC8C8">
        <w:t xml:space="preserve"> and m</w:t>
      </w:r>
      <w:r>
        <w:t>easures the region's focus on</w:t>
      </w:r>
      <w:r w:rsidR="29A90211">
        <w:t xml:space="preserve"> </w:t>
      </w:r>
      <w:r>
        <w:t>and results in balancing visitor volume throughout the year.</w:t>
      </w:r>
    </w:p>
    <w:p w14:paraId="057470B8" w14:textId="7E07E351" w:rsidR="00A74182" w:rsidRPr="002E45A9" w:rsidRDefault="00A74182" w:rsidP="000171E6">
      <w:pPr>
        <w:pStyle w:val="Heading4"/>
      </w:pPr>
      <w:r>
        <w:t xml:space="preserve">Managing </w:t>
      </w:r>
      <w:r w:rsidR="00CE74DA">
        <w:t>visitor distribution</w:t>
      </w:r>
    </w:p>
    <w:p w14:paraId="79A92440" w14:textId="2F3EFAC6" w:rsidR="00E30091" w:rsidRPr="002E45A9" w:rsidRDefault="00E30091" w:rsidP="00011BF5">
      <w:pPr>
        <w:ind w:left="360"/>
      </w:pPr>
      <w:r w:rsidRPr="002E45A9">
        <w:t xml:space="preserve">Evaluates the focus on </w:t>
      </w:r>
      <w:r w:rsidR="00B970E8">
        <w:t>increasing visitation</w:t>
      </w:r>
      <w:r w:rsidRPr="002E45A9">
        <w:t xml:space="preserve"> to less-frequented areas and the success of such efforts.</w:t>
      </w:r>
    </w:p>
    <w:p w14:paraId="2312C512" w14:textId="7427DCD3" w:rsidR="00A74182" w:rsidRPr="002E45A9" w:rsidRDefault="00A74182" w:rsidP="000171E6">
      <w:pPr>
        <w:pStyle w:val="Heading4"/>
      </w:pPr>
      <w:r w:rsidRPr="002E45A9">
        <w:t xml:space="preserve">Managing </w:t>
      </w:r>
      <w:r w:rsidR="00CE74DA">
        <w:t>r</w:t>
      </w:r>
      <w:r w:rsidR="00CE74DA" w:rsidRPr="002E45A9">
        <w:t xml:space="preserve">esponsible </w:t>
      </w:r>
      <w:r w:rsidR="00CE74DA">
        <w:t>travel</w:t>
      </w:r>
    </w:p>
    <w:p w14:paraId="0345D4C8" w14:textId="77777777" w:rsidR="00E30091" w:rsidRPr="002E45A9" w:rsidRDefault="00E30091" w:rsidP="00011BF5">
      <w:pPr>
        <w:ind w:left="360"/>
      </w:pPr>
      <w:r w:rsidRPr="002E45A9">
        <w:t>Rates the presence and effectiveness of clear suggestions to encourage sustainable visitor behavior.</w:t>
      </w:r>
    </w:p>
    <w:p w14:paraId="61996893" w14:textId="3D9A92D5" w:rsidR="00A74182" w:rsidRPr="002E45A9" w:rsidRDefault="00A74182" w:rsidP="000171E6">
      <w:pPr>
        <w:pStyle w:val="Heading4"/>
      </w:pPr>
      <w:r>
        <w:t xml:space="preserve">Monitoring </w:t>
      </w:r>
      <w:r w:rsidR="00062FE7">
        <w:t>v</w:t>
      </w:r>
      <w:r>
        <w:t xml:space="preserve">isitor </w:t>
      </w:r>
      <w:r w:rsidR="00062FE7">
        <w:t>variations</w:t>
      </w:r>
    </w:p>
    <w:p w14:paraId="3136C616" w14:textId="77777777" w:rsidR="00E30091" w:rsidRPr="002E45A9" w:rsidRDefault="00E30091" w:rsidP="00011BF5">
      <w:pPr>
        <w:ind w:left="360"/>
      </w:pPr>
      <w:r w:rsidRPr="002E45A9">
        <w:t>Examines the extent and impact of monitoring visitor trends (e.g., daily, seasonal) to inform tourism management.</w:t>
      </w:r>
    </w:p>
    <w:p w14:paraId="1F5181AF" w14:textId="6FE19797" w:rsidR="00A74182" w:rsidRPr="002E45A9" w:rsidRDefault="00A74182" w:rsidP="000171E6">
      <w:pPr>
        <w:pStyle w:val="Heading4"/>
      </w:pPr>
      <w:r>
        <w:t xml:space="preserve">Responsible </w:t>
      </w:r>
      <w:r w:rsidR="00062FE7">
        <w:t>marketing</w:t>
      </w:r>
    </w:p>
    <w:p w14:paraId="60C191B8" w14:textId="5CD8C073" w:rsidR="00E30091" w:rsidRPr="002E45A9" w:rsidRDefault="00E30091" w:rsidP="00B0464E">
      <w:pPr>
        <w:ind w:left="360"/>
      </w:pPr>
      <w:r w:rsidRPr="002E45A9">
        <w:t>Considers how marketing strategies account for capacity, seasonality, environmental impact and residents’ well-being.</w:t>
      </w:r>
    </w:p>
    <w:p w14:paraId="5F879E26" w14:textId="0E960B2F" w:rsidR="00893563" w:rsidRPr="0050622D" w:rsidRDefault="00893563" w:rsidP="00893563">
      <w:r>
        <w:t xml:space="preserve">The individual performance criteria and the subsequent findings are shown in Table 5 below: </w:t>
      </w:r>
    </w:p>
    <w:p w14:paraId="2414CE5F" w14:textId="77777777" w:rsidR="00A83805" w:rsidRDefault="00A83805" w:rsidP="00893563">
      <w:pPr>
        <w:rPr>
          <w:b/>
          <w:bCs/>
          <w:i/>
          <w:iCs/>
        </w:rPr>
      </w:pPr>
    </w:p>
    <w:p w14:paraId="3357830B" w14:textId="77777777" w:rsidR="00E005EE" w:rsidRDefault="00E005EE" w:rsidP="00893563">
      <w:pPr>
        <w:rPr>
          <w:b/>
          <w:bCs/>
          <w:i/>
          <w:iCs/>
        </w:rPr>
      </w:pPr>
    </w:p>
    <w:p w14:paraId="3FBD75A5" w14:textId="77777777" w:rsidR="00E005EE" w:rsidRDefault="00E005EE" w:rsidP="00893563">
      <w:pPr>
        <w:rPr>
          <w:b/>
          <w:bCs/>
          <w:i/>
          <w:iCs/>
        </w:rPr>
      </w:pPr>
    </w:p>
    <w:p w14:paraId="42FE603B" w14:textId="77777777" w:rsidR="00E005EE" w:rsidRDefault="00E005EE" w:rsidP="00893563">
      <w:pPr>
        <w:rPr>
          <w:b/>
          <w:bCs/>
          <w:i/>
          <w:iCs/>
        </w:rPr>
      </w:pPr>
    </w:p>
    <w:p w14:paraId="3273099C" w14:textId="77777777" w:rsidR="00E005EE" w:rsidRDefault="00E005EE" w:rsidP="00893563">
      <w:pPr>
        <w:rPr>
          <w:b/>
          <w:bCs/>
          <w:i/>
          <w:iCs/>
        </w:rPr>
      </w:pPr>
    </w:p>
    <w:p w14:paraId="16B78EF7" w14:textId="77777777" w:rsidR="00E005EE" w:rsidRDefault="00E005EE" w:rsidP="00893563">
      <w:pPr>
        <w:rPr>
          <w:b/>
          <w:bCs/>
          <w:i/>
          <w:iCs/>
        </w:rPr>
      </w:pPr>
    </w:p>
    <w:p w14:paraId="2C2B516F" w14:textId="77777777" w:rsidR="00E005EE" w:rsidRDefault="00E005EE" w:rsidP="00893563">
      <w:pPr>
        <w:rPr>
          <w:b/>
          <w:bCs/>
          <w:i/>
          <w:iCs/>
        </w:rPr>
      </w:pPr>
    </w:p>
    <w:p w14:paraId="6C994695" w14:textId="77777777" w:rsidR="00E005EE" w:rsidRDefault="00E005EE" w:rsidP="00893563">
      <w:pPr>
        <w:rPr>
          <w:b/>
          <w:bCs/>
          <w:i/>
          <w:iCs/>
        </w:rPr>
      </w:pPr>
    </w:p>
    <w:p w14:paraId="5B985232" w14:textId="77777777" w:rsidR="00E005EE" w:rsidRDefault="00E005EE" w:rsidP="00893563">
      <w:pPr>
        <w:rPr>
          <w:b/>
          <w:bCs/>
          <w:i/>
          <w:iCs/>
        </w:rPr>
      </w:pPr>
    </w:p>
    <w:p w14:paraId="0452AA26" w14:textId="77777777" w:rsidR="00E005EE" w:rsidRDefault="00E005EE" w:rsidP="00893563">
      <w:pPr>
        <w:rPr>
          <w:b/>
          <w:bCs/>
          <w:i/>
          <w:iCs/>
        </w:rPr>
      </w:pPr>
    </w:p>
    <w:p w14:paraId="27ACB0B1" w14:textId="77777777" w:rsidR="00A83805" w:rsidRDefault="00A83805" w:rsidP="00893563">
      <w:pPr>
        <w:rPr>
          <w:b/>
          <w:bCs/>
          <w:i/>
          <w:iCs/>
        </w:rPr>
      </w:pPr>
    </w:p>
    <w:p w14:paraId="246F0EB7" w14:textId="77777777" w:rsidR="00A83805" w:rsidRDefault="00A83805" w:rsidP="00893563">
      <w:pPr>
        <w:rPr>
          <w:b/>
          <w:bCs/>
          <w:i/>
          <w:iCs/>
        </w:rPr>
      </w:pPr>
    </w:p>
    <w:p w14:paraId="56ABABB3" w14:textId="77777777" w:rsidR="00A83805" w:rsidRDefault="00A83805" w:rsidP="00893563">
      <w:pPr>
        <w:rPr>
          <w:b/>
          <w:bCs/>
          <w:i/>
          <w:iCs/>
        </w:rPr>
      </w:pPr>
    </w:p>
    <w:p w14:paraId="70CB00B4" w14:textId="0AD2DE6D" w:rsidR="00893563" w:rsidRPr="0050622D" w:rsidRDefault="00893563" w:rsidP="00893563">
      <w:pPr>
        <w:rPr>
          <w:b/>
          <w:bCs/>
          <w:i/>
          <w:iCs/>
        </w:rPr>
      </w:pPr>
      <w:r w:rsidRPr="0050622D">
        <w:rPr>
          <w:b/>
          <w:bCs/>
          <w:i/>
          <w:iCs/>
        </w:rPr>
        <w:lastRenderedPageBreak/>
        <w:t>Table 5. CSF 5 qualitative performance criteria ratings</w:t>
      </w:r>
    </w:p>
    <w:tbl>
      <w:tblPr>
        <w:tblW w:w="5000" w:type="pct"/>
        <w:tblCellMar>
          <w:left w:w="0" w:type="dxa"/>
          <w:right w:w="0" w:type="dxa"/>
        </w:tblCellMar>
        <w:tblLook w:val="0420" w:firstRow="1" w:lastRow="0" w:firstColumn="0" w:lastColumn="0" w:noHBand="0" w:noVBand="1"/>
      </w:tblPr>
      <w:tblGrid>
        <w:gridCol w:w="1476"/>
        <w:gridCol w:w="1081"/>
        <w:gridCol w:w="7503"/>
      </w:tblGrid>
      <w:tr w:rsidR="00893563" w:rsidRPr="0050622D" w14:paraId="7EEC7C76" w14:textId="77777777" w:rsidTr="18E55A4C">
        <w:trPr>
          <w:trHeight w:val="616"/>
        </w:trPr>
        <w:tc>
          <w:tcPr>
            <w:tcW w:w="603"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36E6DE9F" w14:textId="77777777" w:rsidR="00893563" w:rsidRPr="00C90640" w:rsidRDefault="00893563" w:rsidP="00353979">
            <w:pPr>
              <w:jc w:val="center"/>
              <w:rPr>
                <w:color w:val="FFFFFF" w:themeColor="background1"/>
                <w:lang w:val="en-CA"/>
              </w:rPr>
            </w:pPr>
            <w:r w:rsidRPr="00C90640">
              <w:rPr>
                <w:b/>
                <w:bCs/>
                <w:color w:val="FFFFFF" w:themeColor="background1"/>
              </w:rPr>
              <w:t>Performance criteria</w:t>
            </w:r>
          </w:p>
        </w:tc>
        <w:tc>
          <w:tcPr>
            <w:tcW w:w="603"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51F73C86" w14:textId="77777777" w:rsidR="00893563" w:rsidRPr="00C90640" w:rsidRDefault="00893563" w:rsidP="00353979">
            <w:pPr>
              <w:jc w:val="center"/>
              <w:rPr>
                <w:color w:val="FFFFFF" w:themeColor="background1"/>
                <w:lang w:val="en-CA"/>
              </w:rPr>
            </w:pPr>
            <w:r w:rsidRPr="00C90640">
              <w:rPr>
                <w:b/>
                <w:bCs/>
                <w:color w:val="FFFFFF" w:themeColor="background1"/>
              </w:rPr>
              <w:t>Rating</w:t>
            </w:r>
          </w:p>
        </w:tc>
        <w:tc>
          <w:tcPr>
            <w:tcW w:w="3795"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14D9B474" w14:textId="77777777" w:rsidR="00893563" w:rsidRPr="00C90640" w:rsidRDefault="00893563" w:rsidP="00353979">
            <w:pPr>
              <w:jc w:val="center"/>
              <w:rPr>
                <w:color w:val="FFFFFF" w:themeColor="background1"/>
                <w:lang w:val="en-CA"/>
              </w:rPr>
            </w:pPr>
            <w:r w:rsidRPr="00C90640">
              <w:rPr>
                <w:b/>
                <w:bCs/>
                <w:color w:val="FFFFFF" w:themeColor="background1"/>
              </w:rPr>
              <w:t>Findings</w:t>
            </w:r>
          </w:p>
        </w:tc>
      </w:tr>
      <w:tr w:rsidR="00893563" w:rsidRPr="0050622D" w14:paraId="32F222B7" w14:textId="77777777" w:rsidTr="18E55A4C">
        <w:trPr>
          <w:trHeight w:val="861"/>
        </w:trPr>
        <w:tc>
          <w:tcPr>
            <w:tcW w:w="603"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16FAF28" w14:textId="77777777" w:rsidR="00893563" w:rsidRPr="0050622D" w:rsidRDefault="00893563" w:rsidP="00353979">
            <w:pPr>
              <w:jc w:val="center"/>
              <w:rPr>
                <w:b/>
                <w:bCs/>
                <w:lang w:val="en-CA"/>
              </w:rPr>
            </w:pPr>
            <w:r w:rsidRPr="0050622D">
              <w:rPr>
                <w:b/>
                <w:bCs/>
              </w:rPr>
              <w:t>Managing seasonality</w:t>
            </w:r>
          </w:p>
        </w:tc>
        <w:tc>
          <w:tcPr>
            <w:tcW w:w="603"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49F67C6" w14:textId="77777777" w:rsidR="00893563" w:rsidRPr="0050622D" w:rsidRDefault="00893563" w:rsidP="00353979">
            <w:pPr>
              <w:jc w:val="center"/>
              <w:rPr>
                <w:lang w:val="en-CA"/>
              </w:rPr>
            </w:pPr>
            <w:r w:rsidRPr="0050622D">
              <w:rPr>
                <w:lang w:val="en-CA"/>
              </w:rPr>
              <w:t>2.3</w:t>
            </w:r>
          </w:p>
        </w:tc>
        <w:tc>
          <w:tcPr>
            <w:tcW w:w="3795"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325CF364" w14:textId="2D37D54E" w:rsidR="00893563" w:rsidRPr="0050622D" w:rsidRDefault="00893563" w:rsidP="00353979">
            <w:r>
              <w:t xml:space="preserve">According to panelists, the region is moderately focused on mitigating seasonality with limited success. Although there are destinations within the region that experience near-capacity peak-season visitation, the region overall is not characterized by severe seasonal swings. </w:t>
            </w:r>
          </w:p>
        </w:tc>
      </w:tr>
      <w:tr w:rsidR="00893563" w:rsidRPr="0050622D" w14:paraId="4F18AD1C" w14:textId="77777777" w:rsidTr="00C90640">
        <w:trPr>
          <w:trHeight w:val="835"/>
        </w:trPr>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0E2A82BA" w14:textId="77777777" w:rsidR="00893563" w:rsidRPr="0050622D" w:rsidRDefault="00893563" w:rsidP="00353979">
            <w:pPr>
              <w:jc w:val="center"/>
              <w:rPr>
                <w:b/>
                <w:bCs/>
                <w:lang w:val="en-CA"/>
              </w:rPr>
            </w:pPr>
            <w:r w:rsidRPr="0050622D">
              <w:rPr>
                <w:b/>
                <w:bCs/>
              </w:rPr>
              <w:t>Managing visitor distribution</w:t>
            </w:r>
          </w:p>
        </w:tc>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0FE5CE8C" w14:textId="77777777" w:rsidR="00893563" w:rsidRPr="0050622D" w:rsidRDefault="00893563" w:rsidP="00353979">
            <w:pPr>
              <w:jc w:val="center"/>
              <w:rPr>
                <w:lang w:val="en-CA"/>
              </w:rPr>
            </w:pPr>
            <w:r w:rsidRPr="0050622D">
              <w:rPr>
                <w:lang w:val="en-CA"/>
              </w:rPr>
              <w:t>2</w:t>
            </w:r>
          </w:p>
        </w:tc>
        <w:tc>
          <w:tcPr>
            <w:tcW w:w="37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7E319471" w14:textId="77777777" w:rsidR="00893563" w:rsidRPr="0050622D" w:rsidRDefault="00893563" w:rsidP="00353979">
            <w:r>
              <w:t>Panelists believe that there has been limited focus on and success in increasing visitor volume to less-visited areas in the region.</w:t>
            </w:r>
          </w:p>
        </w:tc>
      </w:tr>
      <w:tr w:rsidR="00893563" w:rsidRPr="0050622D" w14:paraId="28052D2D" w14:textId="77777777" w:rsidTr="00C90640">
        <w:trPr>
          <w:trHeight w:val="790"/>
        </w:trPr>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00B5E0F8" w14:textId="77777777" w:rsidR="00893563" w:rsidRPr="0050622D" w:rsidRDefault="00893563" w:rsidP="00353979">
            <w:pPr>
              <w:jc w:val="center"/>
              <w:rPr>
                <w:b/>
                <w:bCs/>
                <w:lang w:val="en-CA"/>
              </w:rPr>
            </w:pPr>
            <w:r w:rsidRPr="0050622D">
              <w:rPr>
                <w:b/>
                <w:bCs/>
              </w:rPr>
              <w:t>Managing responsible travel</w:t>
            </w:r>
          </w:p>
        </w:tc>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C843CBE" w14:textId="77777777" w:rsidR="00893563" w:rsidRPr="0050622D" w:rsidRDefault="00893563" w:rsidP="00353979">
            <w:pPr>
              <w:jc w:val="center"/>
              <w:rPr>
                <w:lang w:val="en-CA"/>
              </w:rPr>
            </w:pPr>
            <w:r w:rsidRPr="0050622D">
              <w:rPr>
                <w:lang w:val="en-CA"/>
              </w:rPr>
              <w:t>2</w:t>
            </w:r>
          </w:p>
        </w:tc>
        <w:tc>
          <w:tcPr>
            <w:tcW w:w="37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581B3D22" w14:textId="51FED2E6" w:rsidR="00893563" w:rsidRPr="0050622D" w:rsidRDefault="00893563" w:rsidP="00353979">
            <w:r>
              <w:t xml:space="preserve">Suggestions for visitors to travel responsibly and support sustainability are provided but their effectiveness is not clear, according to </w:t>
            </w:r>
            <w:r w:rsidR="00A83805">
              <w:t xml:space="preserve">the </w:t>
            </w:r>
            <w:r>
              <w:t xml:space="preserve">panelists. </w:t>
            </w:r>
          </w:p>
        </w:tc>
      </w:tr>
      <w:tr w:rsidR="00893563" w:rsidRPr="0050622D" w14:paraId="27DA2143" w14:textId="77777777" w:rsidTr="00C90640">
        <w:trPr>
          <w:trHeight w:val="466"/>
        </w:trPr>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9A2D96F" w14:textId="77777777" w:rsidR="00893563" w:rsidRPr="0050622D" w:rsidRDefault="00893563" w:rsidP="00353979">
            <w:pPr>
              <w:jc w:val="center"/>
              <w:rPr>
                <w:b/>
                <w:bCs/>
                <w:lang w:val="en-CA"/>
              </w:rPr>
            </w:pPr>
            <w:r w:rsidRPr="0050622D">
              <w:rPr>
                <w:b/>
                <w:bCs/>
              </w:rPr>
              <w:t>Monitoring visitor variations</w:t>
            </w:r>
          </w:p>
        </w:tc>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277C591C" w14:textId="77777777" w:rsidR="00893563" w:rsidRPr="0050622D" w:rsidRDefault="00893563" w:rsidP="00353979">
            <w:pPr>
              <w:jc w:val="center"/>
              <w:rPr>
                <w:lang w:val="en-CA"/>
              </w:rPr>
            </w:pPr>
            <w:r w:rsidRPr="0050622D">
              <w:rPr>
                <w:lang w:val="en-CA"/>
              </w:rPr>
              <w:t>2</w:t>
            </w:r>
          </w:p>
        </w:tc>
        <w:tc>
          <w:tcPr>
            <w:tcW w:w="37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68733C38" w14:textId="311067A2" w:rsidR="00893563" w:rsidRPr="0050622D" w:rsidRDefault="00893563" w:rsidP="00353979">
            <w:r>
              <w:t>Monthly and daily variations in visitation are monitored throughout the year but have limited impact on tourism management</w:t>
            </w:r>
            <w:r w:rsidR="00A83805">
              <w:t xml:space="preserve">, </w:t>
            </w:r>
            <w:r>
              <w:t xml:space="preserve">according to </w:t>
            </w:r>
            <w:r w:rsidR="00A83805">
              <w:t xml:space="preserve">the </w:t>
            </w:r>
            <w:r>
              <w:t>panelists.</w:t>
            </w:r>
          </w:p>
        </w:tc>
      </w:tr>
      <w:tr w:rsidR="00893563" w:rsidRPr="0050622D" w14:paraId="22558598" w14:textId="77777777" w:rsidTr="18E55A4C">
        <w:trPr>
          <w:trHeight w:val="1355"/>
        </w:trPr>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763AD6E9" w14:textId="77777777" w:rsidR="00893563" w:rsidRPr="0050622D" w:rsidRDefault="00893563" w:rsidP="00353979">
            <w:pPr>
              <w:jc w:val="center"/>
              <w:rPr>
                <w:b/>
                <w:bCs/>
                <w:lang w:val="en-CA"/>
              </w:rPr>
            </w:pPr>
            <w:r w:rsidRPr="0050622D">
              <w:rPr>
                <w:b/>
                <w:bCs/>
              </w:rPr>
              <w:t>Responsible marketing</w:t>
            </w:r>
          </w:p>
        </w:tc>
        <w:tc>
          <w:tcPr>
            <w:tcW w:w="6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4A53A51A" w14:textId="77777777" w:rsidR="00893563" w:rsidRPr="0050622D" w:rsidRDefault="00893563" w:rsidP="00353979">
            <w:pPr>
              <w:jc w:val="center"/>
              <w:rPr>
                <w:lang w:val="en-CA"/>
              </w:rPr>
            </w:pPr>
            <w:r w:rsidRPr="0050622D">
              <w:rPr>
                <w:lang w:val="en-CA"/>
              </w:rPr>
              <w:t>2.3</w:t>
            </w:r>
          </w:p>
        </w:tc>
        <w:tc>
          <w:tcPr>
            <w:tcW w:w="37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05F1A50D" w14:textId="5D6479C8" w:rsidR="00893563" w:rsidRPr="0050622D" w:rsidRDefault="00893563" w:rsidP="00353979">
            <w:r>
              <w:t>Panelists believe that marketing strategies across the region typically have a slight focus on capacity, impact on the natural environment and residents' well- being and a moderate focus on seasonality, with the larger destinations incorporating these elements more consistently.</w:t>
            </w:r>
          </w:p>
        </w:tc>
      </w:tr>
    </w:tbl>
    <w:p w14:paraId="21B3AFD2" w14:textId="77777777" w:rsidR="00A83805" w:rsidRDefault="00A83805" w:rsidP="18E55A4C">
      <w:pPr>
        <w:jc w:val="center"/>
      </w:pPr>
    </w:p>
    <w:p w14:paraId="45F2CF97" w14:textId="53348A8A" w:rsidR="00893563" w:rsidRDefault="00893563" w:rsidP="18E55A4C">
      <w:pPr>
        <w:jc w:val="center"/>
      </w:pPr>
      <w:r>
        <w:rPr>
          <w:noProof/>
        </w:rPr>
        <mc:AlternateContent>
          <mc:Choice Requires="wps">
            <w:drawing>
              <wp:inline distT="45720" distB="45720" distL="114300" distR="114300" wp14:anchorId="634C32A4" wp14:editId="317DAEF0">
                <wp:extent cx="5029200" cy="1404620"/>
                <wp:effectExtent l="25400" t="25400" r="38100" b="37465"/>
                <wp:docPr id="1601812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61381221" w14:textId="77777777" w:rsidR="00893563" w:rsidRPr="00C22D9E" w:rsidRDefault="00893563" w:rsidP="00893563">
                            <w:pPr>
                              <w:jc w:val="center"/>
                            </w:pPr>
                            <w:r w:rsidRPr="00C22D9E">
                              <w:t>“Major progress can still be realized in mass transportation options, managing peak volume</w:t>
                            </w:r>
                            <w:r>
                              <w:t xml:space="preserve"> and</w:t>
                            </w:r>
                            <w:r w:rsidRPr="00C22D9E">
                              <w:t xml:space="preserve"> impact to residents.”</w:t>
                            </w:r>
                          </w:p>
                          <w:p w14:paraId="3F1C6A82" w14:textId="77777777" w:rsidR="00893563" w:rsidRPr="00C22D9E" w:rsidRDefault="00893563" w:rsidP="00893563">
                            <w:pPr>
                              <w:jc w:val="center"/>
                            </w:pPr>
                            <w:r w:rsidRPr="00C22D9E">
                              <w:t>“What would be helpful is if the larger visitation areas could guide visitors to smaller towns for tourism. Tourism stakeholders are too localized right now.”</w:t>
                            </w:r>
                          </w:p>
                          <w:p w14:paraId="402ED3FE" w14:textId="77777777" w:rsidR="00893563" w:rsidRDefault="00893563" w:rsidP="00893563">
                            <w:pPr>
                              <w:jc w:val="center"/>
                            </w:pPr>
                            <w:r w:rsidRPr="00C22D9E">
                              <w:t>“Tourism is managed consistently regionally when scaled for tourist popularity, with the exception of some weather-dependent locations that are notably unprepared for significant volume (ex: mountain towns, some beach cities).”</w:t>
                            </w:r>
                          </w:p>
                        </w:txbxContent>
                      </wps:txbx>
                      <wps:bodyPr rot="0" vert="horz" wrap="square" lIns="91440" tIns="45720" rIns="91440" bIns="45720" anchor="t" anchorCtr="0">
                        <a:spAutoFit/>
                      </wps:bodyPr>
                    </wps:wsp>
                  </a:graphicData>
                </a:graphic>
              </wp:inline>
            </w:drawing>
          </mc:Choice>
          <mc:Fallback>
            <w:pict>
              <v:shape w14:anchorId="634C32A4" id="_x0000_s1031" type="#_x0000_t202" style="width:3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" strokeweight="4.5pt">
                <v:stroke linestyle="thickThin"/>
                <v:textbox style="mso-fit-shape-to-text:t">
                  <w:txbxContent>
                    <w:p w14:paraId="61381221" w14:textId="77777777" w:rsidR="00893563" w:rsidRPr="00C22D9E" w:rsidRDefault="00893563" w:rsidP="00893563">
                      <w:pPr>
                        <w:jc w:val="center"/>
                      </w:pPr>
                      <w:r w:rsidRPr="00C22D9E">
                        <w:t>“Major progress can still be realized in mass transportation options, managing peak volume</w:t>
                      </w:r>
                      <w:r>
                        <w:t xml:space="preserve"> and</w:t>
                      </w:r>
                      <w:r w:rsidRPr="00C22D9E">
                        <w:t xml:space="preserve"> impact to residents.”</w:t>
                      </w:r>
                    </w:p>
                    <w:p w14:paraId="3F1C6A82" w14:textId="77777777" w:rsidR="00893563" w:rsidRPr="00C22D9E" w:rsidRDefault="00893563" w:rsidP="00893563">
                      <w:pPr>
                        <w:jc w:val="center"/>
                      </w:pPr>
                      <w:r w:rsidRPr="00C22D9E">
                        <w:t>“What would be helpful is if the larger visitation areas could guide visitors to smaller towns for tourism. Tourism stakeholders are too localized right now.”</w:t>
                      </w:r>
                    </w:p>
                    <w:p w14:paraId="402ED3FE" w14:textId="77777777" w:rsidR="00893563" w:rsidRDefault="00893563" w:rsidP="00893563">
                      <w:pPr>
                        <w:jc w:val="center"/>
                      </w:pPr>
                      <w:r w:rsidRPr="00C22D9E">
                        <w:t>“Tourism is managed consistently regionally when scaled for tourist popularity, with the exception of some weather-dependent locations that are notably unprepared for significant volume (ex: mountain towns, some beach cities).”</w:t>
                      </w:r>
                    </w:p>
                  </w:txbxContent>
                </v:textbox>
                <w10:anchorlock/>
              </v:shape>
            </w:pict>
          </mc:Fallback>
        </mc:AlternateContent>
      </w:r>
    </w:p>
    <w:p w14:paraId="0F12B69D" w14:textId="77777777" w:rsidR="00893563" w:rsidRDefault="00893563" w:rsidP="00893563"/>
    <w:p w14:paraId="5BF467F2" w14:textId="77777777" w:rsidR="00893563" w:rsidRDefault="00893563" w:rsidP="00893563"/>
    <w:p w14:paraId="4A44909F" w14:textId="77777777" w:rsidR="00893563" w:rsidRDefault="00893563" w:rsidP="00893563"/>
    <w:p w14:paraId="42F232FE" w14:textId="13DB7F23" w:rsidR="00434ABE" w:rsidRDefault="00434ABE" w:rsidP="004E6C07">
      <w:pPr>
        <w:pStyle w:val="Heading3"/>
        <w:sectPr w:rsidR="00434ABE" w:rsidSect="00820ED4">
          <w:headerReference w:type="first" r:id="rId54"/>
          <w:footerReference w:type="first" r:id="rId55"/>
          <w:pgSz w:w="12240" w:h="15840"/>
          <w:pgMar w:top="1440" w:right="1080" w:bottom="1440" w:left="1080" w:header="720" w:footer="720" w:gutter="0"/>
          <w:cols w:space="720"/>
          <w:docGrid w:linePitch="360"/>
        </w:sectPr>
      </w:pPr>
    </w:p>
    <w:p w14:paraId="4E217E56" w14:textId="25600F8A" w:rsidR="00820ED4" w:rsidRPr="002E45A9" w:rsidRDefault="00820ED4" w:rsidP="004E6C07">
      <w:pPr>
        <w:pStyle w:val="Heading2"/>
        <w:rPr>
          <w:noProof/>
        </w:rPr>
      </w:pPr>
      <w:r>
        <w:lastRenderedPageBreak/>
        <w:t xml:space="preserve">CSF 6 </w:t>
      </w:r>
      <w:r w:rsidR="00601F06">
        <w:t xml:space="preserve">— </w:t>
      </w:r>
      <w:r w:rsidR="00142485">
        <w:t>C</w:t>
      </w:r>
      <w:r w:rsidR="005625CD">
        <w:t xml:space="preserve">ommunity </w:t>
      </w:r>
      <w:r w:rsidR="00142485">
        <w:t>W</w:t>
      </w:r>
      <w:r w:rsidR="005625CD">
        <w:t>ell</w:t>
      </w:r>
      <w:r>
        <w:t>-</w:t>
      </w:r>
      <w:r w:rsidR="005625CD">
        <w:t xml:space="preserve">being </w:t>
      </w:r>
    </w:p>
    <w:p w14:paraId="642CAB72" w14:textId="60C983A5" w:rsidR="008566D9" w:rsidRPr="002E45A9" w:rsidRDefault="008566D9" w:rsidP="008566D9">
      <w:r>
        <w:t xml:space="preserve">This CSF </w:t>
      </w:r>
      <w:r w:rsidR="00E30091">
        <w:t>evaluates how well tourism supports community needs and promotes sustainable, inclusive development. It emphasizes community feedback, resident access, equity</w:t>
      </w:r>
      <w:r w:rsidR="00E2142C">
        <w:t xml:space="preserve"> and</w:t>
      </w:r>
      <w:r w:rsidR="00E30091">
        <w:t xml:space="preserve"> responsible tourism development</w:t>
      </w:r>
      <w:r>
        <w:t>.</w:t>
      </w:r>
    </w:p>
    <w:p w14:paraId="603EEF1A" w14:textId="498CB422" w:rsidR="11283DF3" w:rsidRDefault="11283DF3" w:rsidP="57D7F1AB">
      <w:pPr>
        <w:pStyle w:val="Heading3"/>
      </w:pPr>
      <w:r>
        <w:t>CSF 6 key findings</w:t>
      </w:r>
    </w:p>
    <w:p w14:paraId="4A7FD304" w14:textId="2DE75CBB" w:rsidR="00CA0653" w:rsidRDefault="00101B0A" w:rsidP="00101B0A">
      <w:pPr>
        <w:rPr>
          <w:lang w:val="en-CA" w:eastAsia="en-CA"/>
        </w:rPr>
      </w:pPr>
      <w:r w:rsidRPr="471179E9">
        <w:rPr>
          <w:lang w:val="en-CA" w:eastAsia="en-CA"/>
        </w:rPr>
        <w:t xml:space="preserve">The assessment of community engagement and well-being in Los Angeles County reveals a complex and often challenging relationship between tourism development and community needs. The region receives a low composite rating of </w:t>
      </w:r>
      <w:r w:rsidRPr="3D065267">
        <w:rPr>
          <w:lang w:val="en-CA" w:eastAsia="en-CA"/>
        </w:rPr>
        <w:t>3</w:t>
      </w:r>
      <w:r w:rsidR="1A06A567" w:rsidRPr="3D065267">
        <w:rPr>
          <w:lang w:val="en-CA" w:eastAsia="en-CA"/>
        </w:rPr>
        <w:t>5</w:t>
      </w:r>
      <w:r w:rsidRPr="471179E9">
        <w:rPr>
          <w:lang w:val="en-CA" w:eastAsia="en-CA"/>
        </w:rPr>
        <w:t xml:space="preserve"> out of 100, indicating significant room for improvement in aligning tourism with broader community resilience and equity goals.</w:t>
      </w:r>
      <w:r w:rsidR="00F321D0">
        <w:rPr>
          <w:lang w:val="en-CA" w:eastAsia="en-CA"/>
        </w:rPr>
        <w:t xml:space="preserve"> </w:t>
      </w:r>
      <w:r w:rsidRPr="471179E9">
        <w:rPr>
          <w:lang w:val="en-CA" w:eastAsia="en-CA"/>
        </w:rPr>
        <w:t>The county’s strongest performance is seen in women’s workforce participation (71</w:t>
      </w:r>
      <w:r>
        <w:rPr>
          <w:lang w:val="en-CA" w:eastAsia="en-CA"/>
        </w:rPr>
        <w:t xml:space="preserve"> out of 100</w:t>
      </w:r>
      <w:r w:rsidRPr="471179E9">
        <w:rPr>
          <w:lang w:val="en-CA" w:eastAsia="en-CA"/>
        </w:rPr>
        <w:t xml:space="preserve">), pointing to potential progress in economic opportunity and work-life balance. </w:t>
      </w:r>
    </w:p>
    <w:p w14:paraId="31C5CD98" w14:textId="6D68E9F6" w:rsidR="00101B0A" w:rsidRDefault="00CA0653" w:rsidP="00101B0A">
      <w:r>
        <w:rPr>
          <w:lang w:val="en-CA" w:eastAsia="en-CA"/>
        </w:rPr>
        <w:t>O</w:t>
      </w:r>
      <w:r w:rsidR="00101B0A" w:rsidRPr="471179E9">
        <w:rPr>
          <w:lang w:val="en-CA" w:eastAsia="en-CA"/>
        </w:rPr>
        <w:t>ther critical indicators present clear weaknesses. The visitors-to-population ratio (</w:t>
      </w:r>
      <w:r w:rsidR="00101B0A">
        <w:rPr>
          <w:lang w:val="en-CA" w:eastAsia="en-CA"/>
        </w:rPr>
        <w:t>76 out of 100</w:t>
      </w:r>
      <w:r w:rsidR="00101B0A" w:rsidRPr="471179E9">
        <w:rPr>
          <w:lang w:val="en-CA" w:eastAsia="en-CA"/>
        </w:rPr>
        <w:t>) highlights strain on transportation infrastructure, services</w:t>
      </w:r>
      <w:r w:rsidR="00101B0A">
        <w:rPr>
          <w:lang w:val="en-CA" w:eastAsia="en-CA"/>
        </w:rPr>
        <w:t xml:space="preserve"> and</w:t>
      </w:r>
      <w:r w:rsidR="00101B0A" w:rsidRPr="471179E9">
        <w:rPr>
          <w:lang w:val="en-CA" w:eastAsia="en-CA"/>
        </w:rPr>
        <w:t xml:space="preserve"> resources, particularly in high-traffic areas like beach communities. The community resilience index (20</w:t>
      </w:r>
      <w:r w:rsidR="00101B0A">
        <w:rPr>
          <w:lang w:val="en-CA" w:eastAsia="en-CA"/>
        </w:rPr>
        <w:t xml:space="preserve"> out of 100</w:t>
      </w:r>
      <w:r w:rsidR="00101B0A" w:rsidRPr="471179E9">
        <w:rPr>
          <w:lang w:val="en-CA" w:eastAsia="en-CA"/>
        </w:rPr>
        <w:t>) reflects limited preparedness to respond to disasters across social, economic, institutional</w:t>
      </w:r>
      <w:r w:rsidR="00101B0A">
        <w:rPr>
          <w:lang w:val="en-CA" w:eastAsia="en-CA"/>
        </w:rPr>
        <w:t xml:space="preserve"> and</w:t>
      </w:r>
      <w:r w:rsidR="00101B0A" w:rsidRPr="471179E9">
        <w:rPr>
          <w:lang w:val="en-CA" w:eastAsia="en-CA"/>
        </w:rPr>
        <w:t xml:space="preserve"> infrastructural domains. Meanwhile, the social vulnerability index (44</w:t>
      </w:r>
      <w:r w:rsidR="00101B0A">
        <w:rPr>
          <w:lang w:val="en-CA" w:eastAsia="en-CA"/>
        </w:rPr>
        <w:t xml:space="preserve"> out of 100</w:t>
      </w:r>
      <w:r w:rsidR="00101B0A" w:rsidRPr="471179E9">
        <w:rPr>
          <w:lang w:val="en-CA" w:eastAsia="en-CA"/>
        </w:rPr>
        <w:t>) points to persistent disparities in how different populations experience and recover from disruptions.</w:t>
      </w:r>
    </w:p>
    <w:p w14:paraId="517C1863" w14:textId="0B109718" w:rsidR="00101B0A" w:rsidRDefault="00101B0A" w:rsidP="00101B0A">
      <w:r w:rsidRPr="471179E9">
        <w:rPr>
          <w:lang w:val="en-CA" w:eastAsia="en-CA"/>
        </w:rPr>
        <w:t xml:space="preserve">Despite these efforts, community </w:t>
      </w:r>
      <w:r w:rsidR="006B2793">
        <w:rPr>
          <w:lang w:val="en-CA" w:eastAsia="en-CA"/>
        </w:rPr>
        <w:t>engagement</w:t>
      </w:r>
      <w:r w:rsidR="006B2793" w:rsidRPr="471179E9">
        <w:rPr>
          <w:lang w:val="en-CA" w:eastAsia="en-CA"/>
        </w:rPr>
        <w:t xml:space="preserve"> </w:t>
      </w:r>
      <w:r w:rsidRPr="471179E9">
        <w:rPr>
          <w:lang w:val="en-CA" w:eastAsia="en-CA"/>
        </w:rPr>
        <w:t xml:space="preserve">remains uneven and fragmented. While individual destinations solicit resident input, there is no regional framework guiding how tourism impacts are assessed or managed. Stakeholders describe a lack of coordinated engagement, with the effectiveness of efforts varying widely by organization and location. This contributes to mixed perceptions of </w:t>
      </w:r>
      <w:r w:rsidR="006B2793">
        <w:rPr>
          <w:lang w:val="en-CA" w:eastAsia="en-CA"/>
        </w:rPr>
        <w:t>“</w:t>
      </w:r>
      <w:r w:rsidRPr="471179E9">
        <w:rPr>
          <w:lang w:val="en-CA" w:eastAsia="en-CA"/>
        </w:rPr>
        <w:t>overtourism</w:t>
      </w:r>
      <w:r w:rsidR="006B2793">
        <w:rPr>
          <w:lang w:val="en-CA" w:eastAsia="en-CA"/>
        </w:rPr>
        <w:t>”</w:t>
      </w:r>
      <w:r w:rsidRPr="471179E9">
        <w:rPr>
          <w:lang w:val="en-CA" w:eastAsia="en-CA"/>
        </w:rPr>
        <w:t>: while not a widespread countywide issue, localized impacts</w:t>
      </w:r>
      <w:r>
        <w:rPr>
          <w:lang w:val="en-CA" w:eastAsia="en-CA"/>
        </w:rPr>
        <w:t xml:space="preserve"> </w:t>
      </w:r>
      <w:r w:rsidRPr="471179E9">
        <w:rPr>
          <w:lang w:val="en-CA" w:eastAsia="en-CA"/>
        </w:rPr>
        <w:t>in high-demand areas</w:t>
      </w:r>
      <w:r w:rsidR="00132D76">
        <w:rPr>
          <w:lang w:val="en-CA" w:eastAsia="en-CA"/>
        </w:rPr>
        <w:t xml:space="preserve"> </w:t>
      </w:r>
      <w:r w:rsidRPr="471179E9">
        <w:rPr>
          <w:lang w:val="en-CA" w:eastAsia="en-CA"/>
        </w:rPr>
        <w:t>are seen as significant by some stakeholders.</w:t>
      </w:r>
    </w:p>
    <w:p w14:paraId="20C06A94" w14:textId="7D4C1C0E" w:rsidR="00101B0A" w:rsidRDefault="2C361435" w:rsidP="00101B0A">
      <w:r w:rsidRPr="18E55A4C">
        <w:rPr>
          <w:lang w:val="en-CA" w:eastAsia="en-CA"/>
        </w:rPr>
        <w:t>Residents</w:t>
      </w:r>
      <w:r w:rsidR="006E3506">
        <w:rPr>
          <w:lang w:val="en-CA" w:eastAsia="en-CA"/>
        </w:rPr>
        <w:t xml:space="preserve"> </w:t>
      </w:r>
      <w:r w:rsidR="00101B0A" w:rsidRPr="18E55A4C">
        <w:rPr>
          <w:lang w:val="en-CA" w:eastAsia="en-CA"/>
        </w:rPr>
        <w:t>face pressures stemming from high living costs, a shortage of affordable housing and low wages. The lax enforcement of short-term rental regulations further undermines housing stability, weakening the effectiveness of policies aimed at protecting long-term residents. These structural issues heighten social vulnerability</w:t>
      </w:r>
      <w:r w:rsidR="00AE772F">
        <w:rPr>
          <w:lang w:val="en-CA" w:eastAsia="en-CA"/>
        </w:rPr>
        <w:t>.</w:t>
      </w:r>
    </w:p>
    <w:p w14:paraId="03722D7E" w14:textId="77777777" w:rsidR="00CA0653" w:rsidRDefault="00101B0A" w:rsidP="00101B0A">
      <w:pPr>
        <w:rPr>
          <w:lang w:val="en-CA" w:eastAsia="en-CA"/>
        </w:rPr>
      </w:pPr>
      <w:r w:rsidRPr="471179E9">
        <w:rPr>
          <w:lang w:val="en-CA" w:eastAsia="en-CA"/>
        </w:rPr>
        <w:t>Overall, Los Angeles County’s community engagement efforts in tourism show signs of progress but remain constrained by fragmentation, inequities</w:t>
      </w:r>
      <w:r>
        <w:rPr>
          <w:lang w:val="en-CA" w:eastAsia="en-CA"/>
        </w:rPr>
        <w:t xml:space="preserve"> and</w:t>
      </w:r>
      <w:r w:rsidRPr="471179E9">
        <w:rPr>
          <w:lang w:val="en-CA" w:eastAsia="en-CA"/>
        </w:rPr>
        <w:t xml:space="preserve"> inconsistent follow-through. A more coordinated and inclusive county-wide strategy</w:t>
      </w:r>
      <w:r>
        <w:rPr>
          <w:lang w:val="en-CA" w:eastAsia="en-CA"/>
        </w:rPr>
        <w:t xml:space="preserve"> — focused</w:t>
      </w:r>
      <w:r w:rsidRPr="471179E9">
        <w:rPr>
          <w:lang w:val="en-CA" w:eastAsia="en-CA"/>
        </w:rPr>
        <w:t xml:space="preserve"> on equitable distribution of tourism benefits, mitigation of community-level impacts</w:t>
      </w:r>
      <w:r>
        <w:rPr>
          <w:lang w:val="en-CA" w:eastAsia="en-CA"/>
        </w:rPr>
        <w:t xml:space="preserve"> and</w:t>
      </w:r>
      <w:r w:rsidRPr="471179E9">
        <w:rPr>
          <w:lang w:val="en-CA" w:eastAsia="en-CA"/>
        </w:rPr>
        <w:t xml:space="preserve"> deeper integration of resident voices in tourism planning</w:t>
      </w:r>
      <w:r w:rsidR="00132D76">
        <w:rPr>
          <w:lang w:val="en-CA" w:eastAsia="en-CA"/>
        </w:rPr>
        <w:t xml:space="preserve"> </w:t>
      </w:r>
      <w:r>
        <w:rPr>
          <w:lang w:val="en-CA" w:eastAsia="en-CA"/>
        </w:rPr>
        <w:t>—</w:t>
      </w:r>
      <w:r w:rsidR="00132D76">
        <w:rPr>
          <w:lang w:val="en-CA" w:eastAsia="en-CA"/>
        </w:rPr>
        <w:t xml:space="preserve"> </w:t>
      </w:r>
      <w:r w:rsidR="006B197D">
        <w:rPr>
          <w:lang w:val="en-CA" w:eastAsia="en-CA"/>
        </w:rPr>
        <w:t>would help</w:t>
      </w:r>
      <w:r w:rsidRPr="471179E9">
        <w:rPr>
          <w:lang w:val="en-CA" w:eastAsia="en-CA"/>
        </w:rPr>
        <w:t xml:space="preserve"> build a more resilient, supportive relationship between </w:t>
      </w:r>
      <w:r w:rsidR="006B197D">
        <w:rPr>
          <w:lang w:val="en-CA" w:eastAsia="en-CA"/>
        </w:rPr>
        <w:t xml:space="preserve">the </w:t>
      </w:r>
      <w:r w:rsidRPr="471179E9">
        <w:rPr>
          <w:lang w:val="en-CA" w:eastAsia="en-CA"/>
        </w:rPr>
        <w:t xml:space="preserve">tourism </w:t>
      </w:r>
      <w:r w:rsidR="006B197D">
        <w:rPr>
          <w:lang w:val="en-CA" w:eastAsia="en-CA"/>
        </w:rPr>
        <w:t xml:space="preserve">sector </w:t>
      </w:r>
      <w:r w:rsidRPr="471179E9">
        <w:rPr>
          <w:lang w:val="en-CA" w:eastAsia="en-CA"/>
        </w:rPr>
        <w:t xml:space="preserve">and </w:t>
      </w:r>
      <w:r w:rsidR="006B197D">
        <w:rPr>
          <w:lang w:val="en-CA" w:eastAsia="en-CA"/>
        </w:rPr>
        <w:t xml:space="preserve">local </w:t>
      </w:r>
      <w:r w:rsidRPr="471179E9">
        <w:rPr>
          <w:lang w:val="en-CA" w:eastAsia="en-CA"/>
        </w:rPr>
        <w:t>communit</w:t>
      </w:r>
      <w:r w:rsidR="006B197D">
        <w:rPr>
          <w:lang w:val="en-CA" w:eastAsia="en-CA"/>
        </w:rPr>
        <w:t>ies</w:t>
      </w:r>
      <w:r w:rsidRPr="471179E9">
        <w:rPr>
          <w:lang w:val="en-CA" w:eastAsia="en-CA"/>
        </w:rPr>
        <w:t>.</w:t>
      </w:r>
    </w:p>
    <w:p w14:paraId="49646297" w14:textId="1FDD2F74" w:rsidR="00AE772F" w:rsidRDefault="00AE772F" w:rsidP="00101B0A">
      <w:pPr>
        <w:rPr>
          <w:lang w:val="en-CA" w:eastAsia="en-CA"/>
        </w:rPr>
      </w:pPr>
      <w:r>
        <w:rPr>
          <w:noProof/>
        </w:rPr>
        <w:drawing>
          <wp:inline distT="0" distB="0" distL="0" distR="0" wp14:anchorId="3F63C117" wp14:editId="74004656">
            <wp:extent cx="6400800" cy="2214931"/>
            <wp:effectExtent l="0" t="0" r="0" b="0"/>
            <wp:docPr id="2003819570" name="Picture 200381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184" t="5763" r="3624" b="11253"/>
                    <a:stretch/>
                  </pic:blipFill>
                  <pic:spPr bwMode="auto">
                    <a:xfrm>
                      <a:off x="0" y="0"/>
                      <a:ext cx="6400800" cy="2214931"/>
                    </a:xfrm>
                    <a:prstGeom prst="rect">
                      <a:avLst/>
                    </a:prstGeom>
                    <a:ln>
                      <a:noFill/>
                    </a:ln>
                    <a:extLst>
                      <a:ext uri="{53640926-AAD7-44D8-BBD7-CCE9431645EC}">
                        <a14:shadowObscured xmlns:a14="http://schemas.microsoft.com/office/drawing/2010/main"/>
                      </a:ext>
                    </a:extLst>
                  </pic:spPr>
                </pic:pic>
              </a:graphicData>
            </a:graphic>
          </wp:inline>
        </w:drawing>
      </w:r>
    </w:p>
    <w:p w14:paraId="7FE1561B" w14:textId="7FD86492" w:rsidR="00B34C16" w:rsidRPr="002E45A9" w:rsidRDefault="00E938A2" w:rsidP="00B34C16">
      <w:pPr>
        <w:pStyle w:val="Heading3"/>
      </w:pPr>
      <w:r>
        <w:lastRenderedPageBreak/>
        <w:t>CSF 6 quantitative rating</w:t>
      </w:r>
      <w:r w:rsidR="3BB2D45F">
        <w:t xml:space="preserve"> descriptions </w:t>
      </w:r>
    </w:p>
    <w:p w14:paraId="02B13CD4" w14:textId="5FE66C45" w:rsidR="00B34C16" w:rsidRPr="002E45A9" w:rsidRDefault="00B34C16" w:rsidP="00B34C16">
      <w:r w:rsidRPr="002E45A9">
        <w:t>CSF 6</w:t>
      </w:r>
      <w:r w:rsidR="00F848F9" w:rsidRPr="002E45A9">
        <w:t xml:space="preserve"> </w:t>
      </w:r>
      <w:r w:rsidR="007B2C37" w:rsidRPr="002E45A9">
        <w:t xml:space="preserve">switches the focus to the perspective of </w:t>
      </w:r>
      <w:r w:rsidR="00E87A23" w:rsidRPr="002E45A9">
        <w:t xml:space="preserve">the </w:t>
      </w:r>
      <w:r w:rsidR="007B2C37" w:rsidRPr="002E45A9">
        <w:t>local community and assesses the region</w:t>
      </w:r>
      <w:r w:rsidR="00E87A23" w:rsidRPr="002E45A9">
        <w:t xml:space="preserve"> through the lens of resident well-being </w:t>
      </w:r>
      <w:r w:rsidR="00045B10" w:rsidRPr="002E45A9">
        <w:t>and engagement with the tourism industry</w:t>
      </w:r>
      <w:r w:rsidR="00EA6050">
        <w:t xml:space="preserve">. </w:t>
      </w:r>
      <w:r w:rsidR="00893FEB">
        <w:t xml:space="preserve">Of the four quantitative metrics, </w:t>
      </w:r>
      <w:r w:rsidR="008D3AF8">
        <w:t>two are</w:t>
      </w:r>
      <w:r w:rsidR="00490CE2">
        <w:t xml:space="preserve"> </w:t>
      </w:r>
      <w:r w:rsidR="0038322B">
        <w:t>derived</w:t>
      </w:r>
      <w:r w:rsidR="008D3AF8">
        <w:t xml:space="preserve"> </w:t>
      </w:r>
      <w:r w:rsidR="00490CE2">
        <w:t>from</w:t>
      </w:r>
      <w:r w:rsidR="008D3AF8">
        <w:t xml:space="preserve"> the</w:t>
      </w:r>
      <w:r w:rsidR="00490CE2">
        <w:t xml:space="preserve"> </w:t>
      </w:r>
      <w:hyperlink r:id="rId57" w:history="1">
        <w:r w:rsidR="00063894" w:rsidRPr="00540C46">
          <w:rPr>
            <w:rStyle w:val="Hyperlink"/>
          </w:rPr>
          <w:t>National Risk Index</w:t>
        </w:r>
      </w:hyperlink>
      <w:r w:rsidR="00063894">
        <w:t xml:space="preserve"> dataset designed and built by the Federal Emergency Management Agency (FEMA)</w:t>
      </w:r>
      <w:r w:rsidR="00276839">
        <w:t xml:space="preserve">. The </w:t>
      </w:r>
      <w:r w:rsidR="007634CC">
        <w:t xml:space="preserve">National </w:t>
      </w:r>
      <w:r w:rsidR="00276839">
        <w:t>Risk Index</w:t>
      </w:r>
      <w:r w:rsidR="007F35A7">
        <w:t xml:space="preserve"> helps illustrate the U.S. communities most at risk for 18 natural hazards</w:t>
      </w:r>
      <w:r w:rsidR="00FD67B6">
        <w:t xml:space="preserve"> and is</w:t>
      </w:r>
      <w:r w:rsidR="00AE0590">
        <w:t xml:space="preserve"> measured at the county and census tract levels.</w:t>
      </w:r>
    </w:p>
    <w:p w14:paraId="64773D99" w14:textId="0242164A" w:rsidR="00B34C16" w:rsidRDefault="0CCDD345" w:rsidP="008D7515">
      <w:pPr>
        <w:pStyle w:val="Heading4"/>
      </w:pPr>
      <w:r>
        <w:t xml:space="preserve">Visitor-to-resident ratio </w:t>
      </w:r>
    </w:p>
    <w:p w14:paraId="4D82F358" w14:textId="04282872" w:rsidR="00B34C16" w:rsidRPr="002E45A9" w:rsidRDefault="008566D9" w:rsidP="00B34C16">
      <w:pPr>
        <w:ind w:left="360"/>
      </w:pPr>
      <w:r w:rsidRPr="002E45A9">
        <w:t>Compares the number of visitors a destination receives to its permanent resident population</w:t>
      </w:r>
      <w:r w:rsidR="00722FD3">
        <w:t xml:space="preserve">, indicating </w:t>
      </w:r>
      <w:r w:rsidRPr="002E45A9">
        <w:t>the tourism intensity of an area and potential impact of tourism on local infrastructure, services</w:t>
      </w:r>
      <w:r w:rsidR="00FC69BE">
        <w:t xml:space="preserve"> and</w:t>
      </w:r>
      <w:r w:rsidRPr="002E45A9">
        <w:t xml:space="preserve"> community.</w:t>
      </w:r>
    </w:p>
    <w:p w14:paraId="15973171" w14:textId="20757B60" w:rsidR="00045B10" w:rsidRPr="00527E4F" w:rsidRDefault="00045B10" w:rsidP="00527E4F">
      <w:pPr>
        <w:pStyle w:val="Heading4"/>
      </w:pPr>
      <w:hyperlink r:id="rId58" w:history="1">
        <w:r w:rsidRPr="00527E4F">
          <w:rPr>
            <w:rStyle w:val="Hyperlink"/>
            <w:color w:val="0F4761" w:themeColor="accent1" w:themeShade="BF"/>
            <w:u w:val="none"/>
          </w:rPr>
          <w:t xml:space="preserve">Social </w:t>
        </w:r>
        <w:r w:rsidR="00272770" w:rsidRPr="00527E4F">
          <w:rPr>
            <w:rStyle w:val="Hyperlink"/>
            <w:color w:val="0F4761" w:themeColor="accent1" w:themeShade="BF"/>
            <w:u w:val="none"/>
          </w:rPr>
          <w:t>v</w:t>
        </w:r>
        <w:r w:rsidRPr="00527E4F">
          <w:rPr>
            <w:rStyle w:val="Hyperlink"/>
            <w:color w:val="0F4761" w:themeColor="accent1" w:themeShade="BF"/>
            <w:u w:val="none"/>
          </w:rPr>
          <w:t xml:space="preserve">ulnerability </w:t>
        </w:r>
        <w:r w:rsidR="00272770" w:rsidRPr="00527E4F">
          <w:rPr>
            <w:rStyle w:val="Hyperlink"/>
            <w:color w:val="0F4761" w:themeColor="accent1" w:themeShade="BF"/>
            <w:u w:val="none"/>
          </w:rPr>
          <w:t>i</w:t>
        </w:r>
        <w:r w:rsidRPr="00527E4F">
          <w:rPr>
            <w:rStyle w:val="Hyperlink"/>
            <w:color w:val="0F4761" w:themeColor="accent1" w:themeShade="BF"/>
            <w:u w:val="none"/>
          </w:rPr>
          <w:t>ndex</w:t>
        </w:r>
      </w:hyperlink>
      <w:r w:rsidRPr="00527E4F">
        <w:t xml:space="preserve"> (inverse)</w:t>
      </w:r>
    </w:p>
    <w:p w14:paraId="396DAAF0" w14:textId="4867C44F" w:rsidR="00A60DAB" w:rsidRPr="002E45A9" w:rsidRDefault="00A60DAB" w:rsidP="00045B10">
      <w:pPr>
        <w:ind w:left="360"/>
      </w:pPr>
      <w:r w:rsidRPr="00A60DAB">
        <w:rPr>
          <w:lang w:val="en-CA"/>
        </w:rPr>
        <w:t xml:space="preserve">Utilizes 16 socioeconomic variables from the </w:t>
      </w:r>
      <w:hyperlink r:id="rId59" w:history="1">
        <w:r w:rsidRPr="00A60DAB">
          <w:rPr>
            <w:rStyle w:val="Hyperlink"/>
            <w:lang w:val="en-CA"/>
          </w:rPr>
          <w:t>FEMA National Risk Index</w:t>
        </w:r>
      </w:hyperlink>
      <w:r w:rsidRPr="00A60DAB">
        <w:rPr>
          <w:lang w:val="en-CA"/>
        </w:rPr>
        <w:t xml:space="preserve"> to measure a community's reduced ability to prepare for, respond to and recover from hazards and natural disasters.</w:t>
      </w:r>
    </w:p>
    <w:p w14:paraId="4FE0A96C" w14:textId="7838E8BB" w:rsidR="00045B10" w:rsidRPr="00527E4F" w:rsidRDefault="00045B10" w:rsidP="00527E4F">
      <w:pPr>
        <w:pStyle w:val="Heading4"/>
      </w:pPr>
      <w:hyperlink r:id="rId60" w:history="1">
        <w:r w:rsidRPr="00527E4F">
          <w:rPr>
            <w:rStyle w:val="Hyperlink"/>
            <w:color w:val="0F4761" w:themeColor="accent1" w:themeShade="BF"/>
            <w:u w:val="none"/>
          </w:rPr>
          <w:t xml:space="preserve">Community </w:t>
        </w:r>
        <w:r w:rsidR="0046436B" w:rsidRPr="00527E4F">
          <w:rPr>
            <w:rStyle w:val="Hyperlink"/>
            <w:color w:val="0F4761" w:themeColor="accent1" w:themeShade="BF"/>
            <w:u w:val="none"/>
          </w:rPr>
          <w:t>resilience i</w:t>
        </w:r>
        <w:r w:rsidRPr="00527E4F">
          <w:rPr>
            <w:rStyle w:val="Hyperlink"/>
            <w:color w:val="0F4761" w:themeColor="accent1" w:themeShade="BF"/>
            <w:u w:val="none"/>
          </w:rPr>
          <w:t>ndex</w:t>
        </w:r>
      </w:hyperlink>
    </w:p>
    <w:p w14:paraId="569112E9" w14:textId="04B9DCC1" w:rsidR="00A60DAB" w:rsidRPr="00A60DAB" w:rsidRDefault="00A60DAB" w:rsidP="00A60DAB">
      <w:pPr>
        <w:ind w:left="360"/>
        <w:rPr>
          <w:lang w:val="en-CA"/>
        </w:rPr>
      </w:pPr>
      <w:r w:rsidRPr="00A60DAB">
        <w:rPr>
          <w:lang w:val="en-CA"/>
        </w:rPr>
        <w:t xml:space="preserve">Assesses a community's ability to prepare, plan for, absorb, recover from and adapt to natural hazard impacts using 49 indicators across six resilience types (social, economic, community capital, institutional, infrastructural and environmental) at the county level, as included in the </w:t>
      </w:r>
      <w:hyperlink r:id="rId61" w:history="1">
        <w:r w:rsidRPr="00A60DAB">
          <w:rPr>
            <w:rStyle w:val="Hyperlink"/>
            <w:lang w:val="en-CA"/>
          </w:rPr>
          <w:t>FEMA National Risk Index</w:t>
        </w:r>
      </w:hyperlink>
      <w:r w:rsidRPr="00A60DAB">
        <w:rPr>
          <w:lang w:val="en-CA"/>
        </w:rPr>
        <w:t>.</w:t>
      </w:r>
    </w:p>
    <w:p w14:paraId="2B9E7E7B" w14:textId="69567DF3" w:rsidR="00045B10" w:rsidRPr="00FE7598" w:rsidRDefault="00045B10" w:rsidP="00FE7598">
      <w:pPr>
        <w:pStyle w:val="Heading4"/>
      </w:pPr>
      <w:r w:rsidRPr="00FE7598">
        <w:t xml:space="preserve">Women in </w:t>
      </w:r>
      <w:r w:rsidR="003D121B" w:rsidRPr="00FE7598">
        <w:t>workforce</w:t>
      </w:r>
    </w:p>
    <w:p w14:paraId="455DBAF8" w14:textId="38C90C49" w:rsidR="008566D9" w:rsidRPr="002E45A9" w:rsidRDefault="00602A66" w:rsidP="008566D9">
      <w:pPr>
        <w:ind w:left="360"/>
      </w:pPr>
      <w:r>
        <w:t>Calculates the proportion of women participating in paid employment compared to the total workforce, serving as an indicator of gender equality in the labor market and reflecting societal norms, economic opportunities</w:t>
      </w:r>
      <w:r w:rsidR="00C63F45">
        <w:t xml:space="preserve"> and</w:t>
      </w:r>
      <w:r>
        <w:t xml:space="preserve"> work-life balance policies </w:t>
      </w:r>
      <w:proofErr w:type="gramStart"/>
      <w:r>
        <w:t>in a given</w:t>
      </w:r>
      <w:proofErr w:type="gramEnd"/>
      <w:r>
        <w:t xml:space="preserve"> area</w:t>
      </w:r>
      <w:r w:rsidR="008566D9">
        <w:t>.</w:t>
      </w:r>
    </w:p>
    <w:p w14:paraId="305E4540" w14:textId="2D6E2BC7" w:rsidR="00294D1E" w:rsidRPr="009B67D0" w:rsidRDefault="009B67D0" w:rsidP="009F2C61">
      <w:pPr>
        <w:pStyle w:val="Heading3"/>
      </w:pPr>
      <w:r>
        <w:t xml:space="preserve">CSF 6 qualitative ratings </w:t>
      </w:r>
      <w:r w:rsidR="00294D1E">
        <w:t xml:space="preserve">and </w:t>
      </w:r>
      <w:r>
        <w:t>findings</w:t>
      </w:r>
    </w:p>
    <w:p w14:paraId="09774BB0" w14:textId="35B62C80" w:rsidR="008F09D5" w:rsidRPr="00181549" w:rsidRDefault="008F09D5" w:rsidP="008F09D5">
      <w:r>
        <w:t>Qualitatively, the panelists assessed the region’s performance on CSF 6 across the following criteria:</w:t>
      </w:r>
    </w:p>
    <w:p w14:paraId="409F4587" w14:textId="16D3286E" w:rsidR="008F09D5" w:rsidRPr="00181549" w:rsidRDefault="008F1217" w:rsidP="00F87620">
      <w:pPr>
        <w:pStyle w:val="Heading4"/>
        <w:spacing w:before="0" w:after="0"/>
      </w:pPr>
      <w:r>
        <w:t xml:space="preserve">Community </w:t>
      </w:r>
      <w:r w:rsidR="009F0549">
        <w:t>feedback</w:t>
      </w:r>
    </w:p>
    <w:p w14:paraId="6B08557D" w14:textId="151FF02D" w:rsidR="00E30091" w:rsidRDefault="001303CE" w:rsidP="00011BF5">
      <w:pPr>
        <w:spacing w:line="240" w:lineRule="auto"/>
        <w:ind w:left="360"/>
      </w:pPr>
      <w:r w:rsidRPr="001303CE">
        <w:t>Evaluates panelists' perceptions regarding the solicitation of resident feedback about the tourism industry and the frequency with which this feedback influences policies and actions.</w:t>
      </w:r>
    </w:p>
    <w:p w14:paraId="76D7BE73" w14:textId="3FAD349C" w:rsidR="008F1217" w:rsidRPr="00181549" w:rsidRDefault="008F1217" w:rsidP="00AC1849">
      <w:pPr>
        <w:pStyle w:val="Heading4"/>
      </w:pPr>
      <w:r>
        <w:t xml:space="preserve">Community </w:t>
      </w:r>
      <w:r w:rsidR="009F0549">
        <w:t xml:space="preserve">access </w:t>
      </w:r>
      <w:r>
        <w:t xml:space="preserve">to </w:t>
      </w:r>
      <w:r w:rsidR="00041369">
        <w:t>sites</w:t>
      </w:r>
      <w:r w:rsidR="009F0549">
        <w:t xml:space="preserve"> </w:t>
      </w:r>
    </w:p>
    <w:p w14:paraId="7DE803DF" w14:textId="55BE86AD" w:rsidR="002E77C1" w:rsidRDefault="003201B0" w:rsidP="00011BF5">
      <w:pPr>
        <w:spacing w:line="240" w:lineRule="auto"/>
        <w:ind w:left="360"/>
      </w:pPr>
      <w:r w:rsidRPr="003201B0">
        <w:t>Assesses panelists' perceptions of resident access to popular natural and cultural sites, distinguishing local needs from those of tourists.</w:t>
      </w:r>
    </w:p>
    <w:p w14:paraId="174E62AE" w14:textId="29FE2073" w:rsidR="008F1217" w:rsidRPr="00181549" w:rsidRDefault="008F1217" w:rsidP="00AC1849">
      <w:pPr>
        <w:pStyle w:val="Heading4"/>
      </w:pPr>
      <w:r>
        <w:t xml:space="preserve">Economic, </w:t>
      </w:r>
      <w:r w:rsidR="00696B64">
        <w:t xml:space="preserve">social </w:t>
      </w:r>
      <w:r>
        <w:t xml:space="preserve">and </w:t>
      </w:r>
      <w:r w:rsidR="00696B64">
        <w:t>environmental well</w:t>
      </w:r>
      <w:r>
        <w:t>-being</w:t>
      </w:r>
    </w:p>
    <w:p w14:paraId="7B08A224" w14:textId="6354E4DE" w:rsidR="007F23EE" w:rsidRDefault="007F23EE" w:rsidP="00011BF5">
      <w:pPr>
        <w:spacing w:line="240" w:lineRule="auto"/>
        <w:ind w:left="360"/>
        <w:rPr>
          <w:lang w:val="en-CA"/>
        </w:rPr>
      </w:pPr>
      <w:r w:rsidRPr="00325D04">
        <w:rPr>
          <w:lang w:val="en-CA"/>
        </w:rPr>
        <w:t>Analyzes the regional tourism industry's focus on diversity, equity and inclusion in hiring practices, as well as its contributions to cultural heritage preservation, cross-cultural exchange and environmental sustainability.</w:t>
      </w:r>
    </w:p>
    <w:p w14:paraId="7C71D6A9" w14:textId="525CD6EA" w:rsidR="008F1217" w:rsidRPr="00181549" w:rsidRDefault="008F1217" w:rsidP="00AC1849">
      <w:pPr>
        <w:pStyle w:val="Heading4"/>
      </w:pPr>
      <w:r>
        <w:t xml:space="preserve"> </w:t>
      </w:r>
      <w:r w:rsidR="003D56B7">
        <w:t>“</w:t>
      </w:r>
      <w:r>
        <w:t>Overtourism</w:t>
      </w:r>
      <w:r w:rsidR="003D56B7">
        <w:t>”</w:t>
      </w:r>
    </w:p>
    <w:p w14:paraId="410F4D22" w14:textId="4C89B375" w:rsidR="00BC0289" w:rsidRPr="00181549" w:rsidRDefault="00BC0289" w:rsidP="00011BF5">
      <w:pPr>
        <w:spacing w:line="240" w:lineRule="auto"/>
        <w:ind w:left="360"/>
        <w:rPr>
          <w:lang w:val="en-CA"/>
        </w:rPr>
      </w:pPr>
      <w:r w:rsidRPr="00325D04">
        <w:rPr>
          <w:lang w:val="en-CA"/>
        </w:rPr>
        <w:t>Investigates the presence, perception and mitigation of 'overtourism,' including strategies to address future risks associated with excessive visitor numbers</w:t>
      </w:r>
      <w:r w:rsidR="007B5067">
        <w:rPr>
          <w:lang w:val="en-CA"/>
        </w:rPr>
        <w:t>.</w:t>
      </w:r>
    </w:p>
    <w:p w14:paraId="3D6C017A" w14:textId="22521F1C" w:rsidR="008F1217" w:rsidRPr="00181549" w:rsidRDefault="008F1217" w:rsidP="00AC1849">
      <w:pPr>
        <w:pStyle w:val="Heading4"/>
      </w:pPr>
      <w:r>
        <w:lastRenderedPageBreak/>
        <w:t xml:space="preserve">Tourism </w:t>
      </w:r>
      <w:r w:rsidR="003D56B7">
        <w:t>development</w:t>
      </w:r>
    </w:p>
    <w:p w14:paraId="29DFA5FD" w14:textId="76FB4113" w:rsidR="00325D04" w:rsidRPr="00325D04" w:rsidRDefault="00325D04" w:rsidP="00BC0289">
      <w:pPr>
        <w:ind w:left="360"/>
      </w:pPr>
      <w:r w:rsidRPr="00325D04">
        <w:rPr>
          <w:lang w:val="en-CA"/>
        </w:rPr>
        <w:t>Evaluates the effectiveness of planning guidelines and policies for sustainable tourism development, including the incorporation of resident feedback, management of short-term rentals</w:t>
      </w:r>
      <w:r w:rsidR="00C63F45">
        <w:rPr>
          <w:lang w:val="en-CA"/>
        </w:rPr>
        <w:t xml:space="preserve"> and</w:t>
      </w:r>
      <w:r w:rsidRPr="00325D04">
        <w:rPr>
          <w:lang w:val="en-CA"/>
        </w:rPr>
        <w:t xml:space="preserve"> preservation of cultural heritage, as perceived by panelists.</w:t>
      </w:r>
    </w:p>
    <w:p w14:paraId="4534578B" w14:textId="6CF551A5" w:rsidR="00C4002E" w:rsidRPr="0050622D" w:rsidRDefault="00C4002E" w:rsidP="00C4002E">
      <w:bookmarkStart w:id="3" w:name="_Hlk168386278"/>
      <w:r w:rsidRPr="0050622D">
        <w:t>The five individual performance criteria and the related findings are shown in Table 6 below:</w:t>
      </w:r>
    </w:p>
    <w:p w14:paraId="040F41C5" w14:textId="2E7A539D" w:rsidR="00C4002E" w:rsidRPr="0050622D" w:rsidRDefault="00C4002E" w:rsidP="00C4002E">
      <w:pPr>
        <w:rPr>
          <w:b/>
          <w:bCs/>
          <w:i/>
          <w:iCs/>
        </w:rPr>
      </w:pPr>
      <w:r w:rsidRPr="0050622D">
        <w:rPr>
          <w:b/>
          <w:bCs/>
          <w:i/>
          <w:iCs/>
        </w:rPr>
        <w:t>Table 6. CSF 6 qualitative performance criteria ratings</w:t>
      </w:r>
    </w:p>
    <w:tbl>
      <w:tblPr>
        <w:tblW w:w="5000" w:type="pct"/>
        <w:tblCellMar>
          <w:left w:w="0" w:type="dxa"/>
          <w:right w:w="0" w:type="dxa"/>
        </w:tblCellMar>
        <w:tblLook w:val="0420" w:firstRow="1" w:lastRow="0" w:firstColumn="0" w:lastColumn="0" w:noHBand="0" w:noVBand="1"/>
      </w:tblPr>
      <w:tblGrid>
        <w:gridCol w:w="1476"/>
        <w:gridCol w:w="1048"/>
        <w:gridCol w:w="7536"/>
      </w:tblGrid>
      <w:tr w:rsidR="00C4002E" w:rsidRPr="0050622D" w14:paraId="5F9BCFA3" w14:textId="77777777" w:rsidTr="18E55A4C">
        <w:trPr>
          <w:trHeight w:val="680"/>
        </w:trPr>
        <w:tc>
          <w:tcPr>
            <w:tcW w:w="59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585AE6FA" w14:textId="77777777" w:rsidR="00C4002E" w:rsidRPr="00C90640" w:rsidRDefault="00C4002E" w:rsidP="00353979">
            <w:pPr>
              <w:jc w:val="center"/>
              <w:rPr>
                <w:color w:val="FFFFFF" w:themeColor="background1"/>
                <w:lang w:val="en-CA"/>
              </w:rPr>
            </w:pPr>
            <w:r w:rsidRPr="00C90640">
              <w:rPr>
                <w:b/>
                <w:bCs/>
                <w:color w:val="FFFFFF" w:themeColor="background1"/>
              </w:rPr>
              <w:t>Performance criteria</w:t>
            </w:r>
          </w:p>
        </w:tc>
        <w:tc>
          <w:tcPr>
            <w:tcW w:w="59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325BD871" w14:textId="77777777" w:rsidR="00C4002E" w:rsidRPr="00C90640" w:rsidRDefault="00C4002E" w:rsidP="00353979">
            <w:pPr>
              <w:jc w:val="center"/>
              <w:rPr>
                <w:color w:val="FFFFFF" w:themeColor="background1"/>
                <w:lang w:val="en-CA"/>
              </w:rPr>
            </w:pPr>
            <w:r w:rsidRPr="00C90640">
              <w:rPr>
                <w:b/>
                <w:bCs/>
                <w:color w:val="FFFFFF" w:themeColor="background1"/>
              </w:rPr>
              <w:t>Rating</w:t>
            </w:r>
          </w:p>
        </w:tc>
        <w:tc>
          <w:tcPr>
            <w:tcW w:w="381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088B35CE" w14:textId="77777777" w:rsidR="00C4002E" w:rsidRPr="00C90640" w:rsidRDefault="00C4002E" w:rsidP="00353979">
            <w:pPr>
              <w:jc w:val="center"/>
              <w:rPr>
                <w:color w:val="FFFFFF" w:themeColor="background1"/>
                <w:lang w:val="en-CA"/>
              </w:rPr>
            </w:pPr>
            <w:r w:rsidRPr="00C90640">
              <w:rPr>
                <w:b/>
                <w:bCs/>
                <w:color w:val="FFFFFF" w:themeColor="background1"/>
              </w:rPr>
              <w:t>Findings</w:t>
            </w:r>
          </w:p>
        </w:tc>
      </w:tr>
      <w:tr w:rsidR="00C4002E" w:rsidRPr="0050622D" w14:paraId="2DC7C9EE" w14:textId="77777777" w:rsidTr="00C90640">
        <w:trPr>
          <w:trHeight w:val="723"/>
        </w:trPr>
        <w:tc>
          <w:tcPr>
            <w:tcW w:w="59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77799C11" w14:textId="77777777" w:rsidR="00C4002E" w:rsidRPr="0050622D" w:rsidRDefault="00C4002E" w:rsidP="00353979">
            <w:pPr>
              <w:jc w:val="center"/>
              <w:rPr>
                <w:b/>
                <w:bCs/>
                <w:lang w:val="en-CA"/>
              </w:rPr>
            </w:pPr>
            <w:r w:rsidRPr="0050622D">
              <w:rPr>
                <w:b/>
                <w:bCs/>
              </w:rPr>
              <w:t>Community feedback</w:t>
            </w:r>
          </w:p>
        </w:tc>
        <w:tc>
          <w:tcPr>
            <w:tcW w:w="59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0F65420C" w14:textId="77777777" w:rsidR="00C4002E" w:rsidRPr="0050622D" w:rsidRDefault="00C4002E" w:rsidP="00353979">
            <w:pPr>
              <w:jc w:val="center"/>
              <w:rPr>
                <w:lang w:val="en-CA"/>
              </w:rPr>
            </w:pPr>
            <w:r w:rsidRPr="0050622D">
              <w:rPr>
                <w:lang w:val="en-CA"/>
              </w:rPr>
              <w:t>3</w:t>
            </w:r>
          </w:p>
        </w:tc>
        <w:tc>
          <w:tcPr>
            <w:tcW w:w="3816"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3AA3823A" w14:textId="77777777" w:rsidR="00C4002E" w:rsidRPr="0050622D" w:rsidRDefault="00C4002E" w:rsidP="00353979">
            <w:r>
              <w:t>Panelists believe resident feedback is solicited related to the tourism industry (surveys, town halls, focus groups) throughout the region and there is sometimes action taken in response.</w:t>
            </w:r>
          </w:p>
        </w:tc>
      </w:tr>
      <w:tr w:rsidR="00C4002E" w:rsidRPr="0050622D" w14:paraId="065E2DA6" w14:textId="77777777" w:rsidTr="18E55A4C">
        <w:trPr>
          <w:trHeight w:val="1344"/>
        </w:trPr>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649A87A6" w14:textId="77777777" w:rsidR="00C4002E" w:rsidRPr="0050622D" w:rsidRDefault="00C4002E" w:rsidP="00353979">
            <w:pPr>
              <w:jc w:val="center"/>
              <w:rPr>
                <w:b/>
                <w:bCs/>
                <w:lang w:val="en-CA"/>
              </w:rPr>
            </w:pPr>
            <w:r w:rsidRPr="0050622D">
              <w:rPr>
                <w:b/>
                <w:bCs/>
              </w:rPr>
              <w:t>Community access to sites</w:t>
            </w:r>
          </w:p>
        </w:tc>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1752E37E" w14:textId="77777777" w:rsidR="00C4002E" w:rsidRPr="0050622D" w:rsidRDefault="00C4002E" w:rsidP="00353979">
            <w:pPr>
              <w:jc w:val="center"/>
              <w:rPr>
                <w:lang w:val="en-CA"/>
              </w:rPr>
            </w:pPr>
            <w:r w:rsidRPr="0050622D">
              <w:rPr>
                <w:lang w:val="en-CA"/>
              </w:rPr>
              <w:t>1</w:t>
            </w:r>
          </w:p>
        </w:tc>
        <w:tc>
          <w:tcPr>
            <w:tcW w:w="38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61EE19BC" w14:textId="3ED42E97" w:rsidR="00C4002E" w:rsidRPr="0050622D" w:rsidRDefault="00C4002E" w:rsidP="00353979">
            <w:r>
              <w:t>Distinctions between residents and tourists are not typical across the region</w:t>
            </w:r>
            <w:r w:rsidR="6E278C9E">
              <w:t>, according to panelists,</w:t>
            </w:r>
            <w:r>
              <w:t xml:space="preserve"> with respect to access to highly visited natural and cultural attractions and sites; however, some popular sites in larger municipalities have created ways to differentiate residents.</w:t>
            </w:r>
          </w:p>
        </w:tc>
      </w:tr>
      <w:tr w:rsidR="00C4002E" w:rsidRPr="0050622D" w14:paraId="5323576A" w14:textId="77777777" w:rsidTr="00377341">
        <w:trPr>
          <w:trHeight w:val="1186"/>
        </w:trPr>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6609DF71" w14:textId="77777777" w:rsidR="00C4002E" w:rsidRPr="0050622D" w:rsidRDefault="00C4002E" w:rsidP="00353979">
            <w:pPr>
              <w:jc w:val="center"/>
              <w:rPr>
                <w:b/>
                <w:bCs/>
                <w:lang w:val="en-CA"/>
              </w:rPr>
            </w:pPr>
            <w:r w:rsidRPr="471179E9">
              <w:rPr>
                <w:b/>
                <w:bCs/>
              </w:rPr>
              <w:t>Economic, social and environmental well-being</w:t>
            </w:r>
          </w:p>
        </w:tc>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3CDDD5A" w14:textId="77777777" w:rsidR="00C4002E" w:rsidRPr="0050622D" w:rsidRDefault="00C4002E" w:rsidP="00353979">
            <w:pPr>
              <w:jc w:val="center"/>
              <w:rPr>
                <w:lang w:val="en-CA"/>
              </w:rPr>
            </w:pPr>
            <w:r w:rsidRPr="0050622D">
              <w:t>3.4</w:t>
            </w:r>
          </w:p>
        </w:tc>
        <w:tc>
          <w:tcPr>
            <w:tcW w:w="38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2BB17D5E" w14:textId="0C50EA1F" w:rsidR="00C4002E" w:rsidRPr="0050622D" w:rsidRDefault="260E0234" w:rsidP="00353979">
            <w:r>
              <w:t xml:space="preserve">Panelists report that </w:t>
            </w:r>
            <w:r w:rsidR="00C4002E">
              <w:t>the region's workforce is very reflective of the residential population</w:t>
            </w:r>
            <w:r w:rsidR="00377341">
              <w:t xml:space="preserve">. </w:t>
            </w:r>
            <w:r w:rsidR="00B7012E">
              <w:t>T</w:t>
            </w:r>
            <w:r w:rsidR="00246C5C">
              <w:t xml:space="preserve">he </w:t>
            </w:r>
            <w:r w:rsidR="00C4002E">
              <w:t>tourism industry is moderately focused on ensuring diversity, equity, inclusion and belonging is a priority in its hiring practices</w:t>
            </w:r>
            <w:r w:rsidR="00377341">
              <w:t xml:space="preserve">. </w:t>
            </w:r>
            <w:r w:rsidR="00565396">
              <w:t>T</w:t>
            </w:r>
            <w:r w:rsidR="00C4002E">
              <w:t>ourism contributes to the preservation of local cultural heritage and traditions.</w:t>
            </w:r>
          </w:p>
        </w:tc>
      </w:tr>
      <w:tr w:rsidR="00C4002E" w:rsidRPr="0050622D" w14:paraId="03EC1594" w14:textId="77777777" w:rsidTr="00C90640">
        <w:trPr>
          <w:trHeight w:val="691"/>
        </w:trPr>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0DDD564D" w14:textId="77777777" w:rsidR="00C4002E" w:rsidRPr="0050622D" w:rsidRDefault="00C4002E" w:rsidP="00353979">
            <w:pPr>
              <w:jc w:val="center"/>
              <w:rPr>
                <w:b/>
                <w:bCs/>
                <w:lang w:val="en-CA"/>
              </w:rPr>
            </w:pPr>
            <w:r w:rsidRPr="0050622D">
              <w:rPr>
                <w:b/>
                <w:bCs/>
              </w:rPr>
              <w:t>“Overtourism”</w:t>
            </w:r>
          </w:p>
        </w:tc>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7F4484D0" w14:textId="77777777" w:rsidR="00C4002E" w:rsidRPr="0050622D" w:rsidRDefault="00C4002E" w:rsidP="00353979">
            <w:pPr>
              <w:jc w:val="center"/>
              <w:rPr>
                <w:lang w:val="en-CA"/>
              </w:rPr>
            </w:pPr>
            <w:r w:rsidRPr="0050622D">
              <w:rPr>
                <w:lang w:val="en-CA"/>
              </w:rPr>
              <w:t>3.3</w:t>
            </w:r>
          </w:p>
        </w:tc>
        <w:tc>
          <w:tcPr>
            <w:tcW w:w="38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02A80C4A" w14:textId="1DE51A19" w:rsidR="00C4002E" w:rsidRPr="0050622D" w:rsidRDefault="00C4002E" w:rsidP="00353979">
            <w:r>
              <w:t xml:space="preserve">Generally, panelists indicate </w:t>
            </w:r>
            <w:r w:rsidR="5729BE7E">
              <w:t>“</w:t>
            </w:r>
            <w:r w:rsidR="00FB73A5">
              <w:t>overtourism</w:t>
            </w:r>
            <w:r w:rsidR="600977B5">
              <w:t>”</w:t>
            </w:r>
            <w:r>
              <w:t xml:space="preserve"> is only present in certain locations (e.g., beaches, mountain areas) during peak periods of demand. Panelists also note the limited risk of future </w:t>
            </w:r>
            <w:r w:rsidR="00FB73A5">
              <w:t xml:space="preserve">issues related to </w:t>
            </w:r>
            <w:r>
              <w:t>overtourism.</w:t>
            </w:r>
          </w:p>
        </w:tc>
      </w:tr>
      <w:tr w:rsidR="00C4002E" w:rsidRPr="0050622D" w14:paraId="54FABC55" w14:textId="77777777" w:rsidTr="18E55A4C">
        <w:trPr>
          <w:trHeight w:val="1344"/>
        </w:trPr>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13048611" w14:textId="77777777" w:rsidR="00C4002E" w:rsidRPr="0050622D" w:rsidRDefault="00C4002E" w:rsidP="00353979">
            <w:pPr>
              <w:jc w:val="center"/>
              <w:rPr>
                <w:b/>
                <w:bCs/>
                <w:lang w:val="en-CA"/>
              </w:rPr>
            </w:pPr>
            <w:r w:rsidRPr="0050622D">
              <w:rPr>
                <w:b/>
                <w:bCs/>
              </w:rPr>
              <w:t>Tourism development</w:t>
            </w:r>
          </w:p>
        </w:tc>
        <w:tc>
          <w:tcPr>
            <w:tcW w:w="5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2F980698" w14:textId="77777777" w:rsidR="00C4002E" w:rsidRPr="0050622D" w:rsidRDefault="00C4002E" w:rsidP="00353979">
            <w:pPr>
              <w:jc w:val="center"/>
              <w:rPr>
                <w:lang w:val="en-CA"/>
              </w:rPr>
            </w:pPr>
            <w:r w:rsidRPr="0050622D">
              <w:t>3.3</w:t>
            </w:r>
          </w:p>
        </w:tc>
        <w:tc>
          <w:tcPr>
            <w:tcW w:w="38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7641CA4C" w14:textId="015B9AEE" w:rsidR="00C4002E" w:rsidRPr="0050622D" w:rsidRDefault="00C4002E" w:rsidP="00353979">
            <w:r>
              <w:t>Planning guidelines, regulations and/or policies for the location and nature of tourism development exist but are minimally effective, with resident feedback sometimes solicited</w:t>
            </w:r>
            <w:r w:rsidR="00FB73A5">
              <w:t>, according to panelists</w:t>
            </w:r>
            <w:r>
              <w:t xml:space="preserve">. </w:t>
            </w:r>
            <w:r w:rsidR="00FB73A5">
              <w:t>M</w:t>
            </w:r>
            <w:r>
              <w:t>easures exist to manage short-term rental inventory but are minimally effective. Measures exist to protect and preserve cultural heritage sites and traditions and are moderately effective.</w:t>
            </w:r>
          </w:p>
        </w:tc>
      </w:tr>
    </w:tbl>
    <w:p w14:paraId="29B79468" w14:textId="77777777" w:rsidR="00377341" w:rsidRPr="00377341" w:rsidRDefault="00377341" w:rsidP="00377341">
      <w:pPr>
        <w:jc w:val="center"/>
        <w:rPr>
          <w:rFonts w:eastAsia="Source Sans Pro Light" w:cs="Source Sans Pro Light"/>
          <w:i/>
          <w:iCs/>
          <w:color w:val="000000" w:themeColor="text1"/>
          <w:sz w:val="8"/>
          <w:szCs w:val="8"/>
        </w:rPr>
      </w:pPr>
    </w:p>
    <w:p w14:paraId="399309F5" w14:textId="4470703C" w:rsidR="00C4002E" w:rsidRDefault="00377341" w:rsidP="00377341">
      <w:pPr>
        <w:jc w:val="center"/>
        <w:rPr>
          <w:rFonts w:eastAsia="Source Sans Pro Light" w:cs="Source Sans Pro Light"/>
          <w:i/>
          <w:iCs/>
          <w:color w:val="000000" w:themeColor="text1"/>
        </w:rPr>
      </w:pPr>
      <w:r w:rsidRPr="0050622D">
        <w:rPr>
          <w:noProof/>
        </w:rPr>
        <mc:AlternateContent>
          <mc:Choice Requires="wps">
            <w:drawing>
              <wp:inline distT="0" distB="0" distL="0" distR="0" wp14:anchorId="513815B0" wp14:editId="2EC1AD11">
                <wp:extent cx="5029200" cy="1198245"/>
                <wp:effectExtent l="25400" t="25400" r="38100" b="33655"/>
                <wp:docPr id="261301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98245"/>
                        </a:xfrm>
                        <a:prstGeom prst="rect">
                          <a:avLst/>
                        </a:prstGeom>
                        <a:solidFill>
                          <a:srgbClr val="FFFFFF"/>
                        </a:solidFill>
                        <a:ln w="57150" cmpd="thickThin">
                          <a:solidFill>
                            <a:srgbClr val="000000"/>
                          </a:solidFill>
                          <a:miter lim="800000"/>
                          <a:headEnd/>
                          <a:tailEnd/>
                        </a:ln>
                      </wps:spPr>
                      <wps:txbx>
                        <w:txbxContent>
                          <w:p w14:paraId="0D7621A1" w14:textId="77777777" w:rsidR="00377341" w:rsidRPr="00F0783F" w:rsidRDefault="00377341" w:rsidP="00377341">
                            <w:pPr>
                              <w:spacing w:before="160"/>
                              <w:jc w:val="center"/>
                            </w:pPr>
                            <w:r w:rsidRPr="00F0783F">
                              <w:rPr>
                                <w:rFonts w:ascii="Source Sans Pro" w:hAnsi="Source Sans Pro"/>
                              </w:rPr>
                              <w:t>“</w:t>
                            </w:r>
                            <w:r w:rsidRPr="00F0783F">
                              <w:t>“Enforcement of short-term rental laws is lax, making those measures minimally effective.”</w:t>
                            </w:r>
                          </w:p>
                          <w:p w14:paraId="07F4DEC1" w14:textId="77777777" w:rsidR="00377341" w:rsidRPr="00F0783F" w:rsidRDefault="00377341" w:rsidP="00377341">
                            <w:pPr>
                              <w:jc w:val="center"/>
                            </w:pPr>
                            <w:r w:rsidRPr="00F0783F">
                              <w:t>“Overtourism is significant in certain areas, which has a tendency to drive tourists elsewhere in the short term.”</w:t>
                            </w:r>
                          </w:p>
                        </w:txbxContent>
                      </wps:txbx>
                      <wps:bodyPr rot="0" vert="horz" wrap="square" lIns="91440" tIns="45720" rIns="91440" bIns="45720" anchor="t" anchorCtr="0">
                        <a:noAutofit/>
                      </wps:bodyPr>
                    </wps:wsp>
                  </a:graphicData>
                </a:graphic>
              </wp:inline>
            </w:drawing>
          </mc:Choice>
          <mc:Fallback>
            <w:pict>
              <v:shape w14:anchorId="513815B0" id="_x0000_s1032" type="#_x0000_t202" style="width:396pt;height: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" strokeweight="4.5pt">
                <v:stroke linestyle="thickThin"/>
                <v:textbox>
                  <w:txbxContent>
                    <w:p w14:paraId="0D7621A1" w14:textId="77777777" w:rsidR="00377341" w:rsidRPr="00F0783F" w:rsidRDefault="00377341" w:rsidP="00377341">
                      <w:pPr>
                        <w:spacing w:before="160"/>
                        <w:jc w:val="center"/>
                      </w:pPr>
                      <w:r w:rsidRPr="00F0783F">
                        <w:rPr>
                          <w:rFonts w:ascii="Source Sans Pro" w:hAnsi="Source Sans Pro"/>
                        </w:rPr>
                        <w:t>“</w:t>
                      </w:r>
                      <w:r w:rsidRPr="00F0783F">
                        <w:t>“Enforcement of short-term rental laws is lax, making those measures minimally effective.”</w:t>
                      </w:r>
                    </w:p>
                    <w:p w14:paraId="07F4DEC1" w14:textId="77777777" w:rsidR="00377341" w:rsidRPr="00F0783F" w:rsidRDefault="00377341" w:rsidP="00377341">
                      <w:pPr>
                        <w:jc w:val="center"/>
                      </w:pPr>
                      <w:r w:rsidRPr="00F0783F">
                        <w:t>“Overtourism is significant in certain areas, which has a tendency to drive tourists elsewhere in the short term.”</w:t>
                      </w:r>
                    </w:p>
                  </w:txbxContent>
                </v:textbox>
                <w10:anchorlock/>
              </v:shape>
            </w:pict>
          </mc:Fallback>
        </mc:AlternateContent>
      </w:r>
    </w:p>
    <w:p w14:paraId="6B7050E3" w14:textId="6AF79384" w:rsidR="00FD32BC" w:rsidRDefault="00FD32BC" w:rsidP="6BB016F7">
      <w:pPr>
        <w:pStyle w:val="Heading2"/>
        <w:ind w:left="1440"/>
        <w:sectPr w:rsidR="00FD32BC" w:rsidSect="00820ED4">
          <w:headerReference w:type="first" r:id="rId62"/>
          <w:footerReference w:type="first" r:id="rId63"/>
          <w:pgSz w:w="12240" w:h="15840"/>
          <w:pgMar w:top="1440" w:right="1080" w:bottom="1440" w:left="1080" w:header="720" w:footer="720" w:gutter="0"/>
          <w:cols w:space="720"/>
          <w:docGrid w:linePitch="360"/>
        </w:sectPr>
      </w:pPr>
    </w:p>
    <w:bookmarkEnd w:id="3"/>
    <w:p w14:paraId="516BBF1C" w14:textId="3D3EE538" w:rsidR="00294D1E" w:rsidRPr="002E45A9" w:rsidRDefault="00820ED4" w:rsidP="00B3660A">
      <w:pPr>
        <w:pStyle w:val="Heading2"/>
      </w:pPr>
      <w:r w:rsidRPr="002E45A9">
        <w:lastRenderedPageBreak/>
        <w:t xml:space="preserve">CSF 7 </w:t>
      </w:r>
      <w:r w:rsidR="00142485">
        <w:t xml:space="preserve">— </w:t>
      </w:r>
      <w:r w:rsidRPr="002E45A9">
        <w:t xml:space="preserve">Environmental </w:t>
      </w:r>
      <w:r w:rsidDel="2F0DED65">
        <w:t>C</w:t>
      </w:r>
      <w:r>
        <w:t>onservation</w:t>
      </w:r>
      <w:r w:rsidRPr="002E45A9" w:rsidDel="00B903DF">
        <w:t xml:space="preserve"> </w:t>
      </w:r>
    </w:p>
    <w:p w14:paraId="3386F84D" w14:textId="5F69F829" w:rsidR="008F09D5" w:rsidRDefault="008F09D5" w:rsidP="008F09D5">
      <w:r>
        <w:t xml:space="preserve">This CSF </w:t>
      </w:r>
      <w:r w:rsidR="00E30091">
        <w:t>focuses on promoting sustainable tourism by preserving natural assets, ensuring responsible visitor behavior and addressing environmental impacts</w:t>
      </w:r>
      <w:r>
        <w:t>.</w:t>
      </w:r>
    </w:p>
    <w:p w14:paraId="04B2F3BA" w14:textId="484E10A4" w:rsidR="1893EBB1" w:rsidRDefault="1893EBB1" w:rsidP="57D7F1AB">
      <w:pPr>
        <w:pStyle w:val="Heading3"/>
      </w:pPr>
      <w:r>
        <w:t>CSF 7 key findings</w:t>
      </w:r>
    </w:p>
    <w:p w14:paraId="2AD126B6" w14:textId="77777777" w:rsidR="009F7C8E" w:rsidRDefault="00CF2107" w:rsidP="00CB7557">
      <w:r>
        <w:rPr>
          <w:rFonts w:eastAsia="Times New Roman" w:cs="Times New Roman"/>
        </w:rPr>
        <w:t>Los Angeles County faces the most serious environmental challenges of all the regions</w:t>
      </w:r>
      <w:r w:rsidR="00CB7557">
        <w:rPr>
          <w:rFonts w:eastAsia="Times New Roman" w:cs="Times New Roman"/>
        </w:rPr>
        <w:t>.</w:t>
      </w:r>
      <w:r>
        <w:t xml:space="preserve"> </w:t>
      </w:r>
      <w:r w:rsidR="006446D2">
        <w:t>The overall composite rating of 10 out of 100</w:t>
      </w:r>
      <w:r>
        <w:t xml:space="preserve"> is the lowest, by far, of any region in the state</w:t>
      </w:r>
      <w:r w:rsidR="006446D2">
        <w:t>, with the only relative strength being the management of cultural resources (43 out of 100). In contrast, air quality (19 out of 100), biodiversity (19 out of 100), conserved areas (19 out of 100) and stream condition (1 out of 100) all receive low scores</w:t>
      </w:r>
      <w:r w:rsidR="00E97C62">
        <w:t xml:space="preserve">. </w:t>
      </w:r>
    </w:p>
    <w:p w14:paraId="75C81A00" w14:textId="33A061B5" w:rsidR="00CB7557" w:rsidRPr="007A59E5" w:rsidRDefault="00E97C62" w:rsidP="00CB7557">
      <w:pPr>
        <w:rPr>
          <w:rFonts w:eastAsia="Times New Roman" w:cs="Times New Roman"/>
        </w:rPr>
      </w:pPr>
      <w:r>
        <w:t>Put differently, t</w:t>
      </w:r>
      <w:r w:rsidR="00CB7557">
        <w:rPr>
          <w:rFonts w:eastAsia="Times New Roman" w:cs="Times New Roman"/>
        </w:rPr>
        <w:t xml:space="preserve">he Los Angeles-Long Beach metro area has the dubious distinction of 25 years as the smoggiest in the nation, according to the American Lung Association. </w:t>
      </w:r>
      <w:r w:rsidR="00CB7557">
        <w:rPr>
          <w:rFonts w:eastAsia="Times New Roman" w:cs="Times New Roman"/>
          <w:kern w:val="0"/>
          <w14:ligatures w14:val="none"/>
        </w:rPr>
        <w:t>The region also has the least biodiversity, poor stream conditions, minimal conserved areas and troubling water scarcity, none of which is all that surprising considering the region is home to the second largest metropolitan area behind only New York. The region is an economic and tourism powerhouse but also struggles with myriad environmental health concerns.</w:t>
      </w:r>
    </w:p>
    <w:p w14:paraId="76BEBBBB" w14:textId="735F32DA" w:rsidR="006446D2" w:rsidRDefault="006446D2" w:rsidP="006446D2">
      <w:r>
        <w:t xml:space="preserve">Water scarcity is a key area of concern. The water availability rating (35 out of 100) highlights an ongoing vulnerability in the face of California’s frequent droughts. Panelists </w:t>
      </w:r>
      <w:r w:rsidR="00BA350B">
        <w:t xml:space="preserve">report </w:t>
      </w:r>
      <w:r>
        <w:t xml:space="preserve">water usage guidelines </w:t>
      </w:r>
      <w:r w:rsidR="00BA350B">
        <w:t>exist</w:t>
      </w:r>
      <w:r w:rsidR="00EF1484">
        <w:t xml:space="preserve"> across the region</w:t>
      </w:r>
      <w:r>
        <w:t>. However, panelists also note that data on tourism-sector water use is lacking or inaccessible, limiting the ability to evaluate the effectiveness of guidelines and complicating the development of responsive policy.</w:t>
      </w:r>
      <w:r w:rsidR="3F5E1C3B">
        <w:t xml:space="preserve"> </w:t>
      </w:r>
    </w:p>
    <w:p w14:paraId="149F06AC" w14:textId="656BDA3D" w:rsidR="006446D2" w:rsidRDefault="006446D2" w:rsidP="000F663A">
      <w:r>
        <w:t xml:space="preserve">Panelists </w:t>
      </w:r>
      <w:r w:rsidR="000F663A">
        <w:t>suggest that</w:t>
      </w:r>
      <w:r>
        <w:t xml:space="preserve"> </w:t>
      </w:r>
      <w:r w:rsidR="000F663A">
        <w:t xml:space="preserve">the </w:t>
      </w:r>
      <w:r>
        <w:t>widespread perception of Los Angeles County as a dense urban area</w:t>
      </w:r>
      <w:r w:rsidR="000F663A">
        <w:t xml:space="preserve"> may </w:t>
      </w:r>
      <w:r>
        <w:t>lead some visitors to underestimate the importance of protecting natural resources and respecting wildlife. These insights reflect a clear need for a region-wide code of conduct, increased signage and more consistent messaging on responsible visitor behavior.  Panelists also emphasize that some jurisdictions have stronger leadership in environmental messaging, but there remains difficulty in securing consistent visitor buy-in and behavior change.</w:t>
      </w:r>
    </w:p>
    <w:p w14:paraId="503A8D58" w14:textId="77777777" w:rsidR="00F705B5" w:rsidRDefault="006446D2" w:rsidP="006446D2">
      <w:r>
        <w:t>Los Angeles County would benefit from a more holistic and coordinated strategy that improv</w:t>
      </w:r>
      <w:r w:rsidR="00F705B5">
        <w:t>es</w:t>
      </w:r>
      <w:r>
        <w:t xml:space="preserve"> visitor behavior management, expand</w:t>
      </w:r>
      <w:r w:rsidR="00F705B5">
        <w:t>s</w:t>
      </w:r>
      <w:r>
        <w:t xml:space="preserve"> land and water conservation efforts, promot</w:t>
      </w:r>
      <w:r w:rsidR="00F705B5">
        <w:t>es</w:t>
      </w:r>
      <w:r>
        <w:t xml:space="preserve"> green transportation and increas</w:t>
      </w:r>
      <w:r w:rsidR="00F705B5">
        <w:t>es</w:t>
      </w:r>
      <w:r>
        <w:t xml:space="preserve"> data collection and transparency, particularly in areas such as water usage within the tourism sector. A stronger regional framework will be critical for aligning tourism with the county’s broader environmental goals and ensuring long-term sustainability in the face of urban pressures and climate-related risks.</w:t>
      </w:r>
    </w:p>
    <w:p w14:paraId="5F1A98E5" w14:textId="63265292" w:rsidR="006446D2" w:rsidRDefault="006446D2" w:rsidP="006446D2">
      <w:r>
        <w:rPr>
          <w:noProof/>
        </w:rPr>
        <w:drawing>
          <wp:inline distT="0" distB="0" distL="0" distR="0" wp14:anchorId="0FA441B4" wp14:editId="1DF9BD16">
            <wp:extent cx="6400800" cy="2207830"/>
            <wp:effectExtent l="0" t="0" r="0" b="2540"/>
            <wp:docPr id="86596265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62652" name="Picture 1" descr="A screenshot of a graph&#10;&#10;AI-generated content may be incorrect."/>
                    <pic:cNvPicPr>
                      <a:picLocks noChangeAspect="1" noChangeArrowheads="1"/>
                    </pic:cNvPicPr>
                  </pic:nvPicPr>
                  <pic:blipFill rotWithShape="1">
                    <a:blip r:embed="rId64">
                      <a:extLst>
                        <a:ext uri="{28A0092B-C50C-407E-A947-70E740481C1C}">
                          <a14:useLocalDpi xmlns:a14="http://schemas.microsoft.com/office/drawing/2010/main" val="0"/>
                        </a:ext>
                      </a:extLst>
                    </a:blip>
                    <a:srcRect r="4392"/>
                    <a:stretch/>
                  </pic:blipFill>
                  <pic:spPr bwMode="auto">
                    <a:xfrm>
                      <a:off x="0" y="0"/>
                      <a:ext cx="6400800" cy="2207830"/>
                    </a:xfrm>
                    <a:prstGeom prst="rect">
                      <a:avLst/>
                    </a:prstGeom>
                    <a:noFill/>
                    <a:ln>
                      <a:noFill/>
                    </a:ln>
                    <a:extLst>
                      <a:ext uri="{53640926-AAD7-44D8-BBD7-CCE9431645EC}">
                        <a14:shadowObscured xmlns:a14="http://schemas.microsoft.com/office/drawing/2010/main"/>
                      </a:ext>
                    </a:extLst>
                  </pic:spPr>
                </pic:pic>
              </a:graphicData>
            </a:graphic>
          </wp:inline>
        </w:drawing>
      </w:r>
    </w:p>
    <w:p w14:paraId="4A62E46E" w14:textId="27EE4133" w:rsidR="00597542" w:rsidRPr="0015324D" w:rsidRDefault="77A3ACEA" w:rsidP="00597542">
      <w:pPr>
        <w:pStyle w:val="Heading3"/>
      </w:pPr>
      <w:r>
        <w:lastRenderedPageBreak/>
        <w:t>CSF 7 quantitative rating</w:t>
      </w:r>
      <w:r w:rsidR="44C7A71F">
        <w:t xml:space="preserve"> descriptions</w:t>
      </w:r>
    </w:p>
    <w:p w14:paraId="4EE23BEF" w14:textId="3107BA53" w:rsidR="00597542" w:rsidRDefault="00597542" w:rsidP="00597542">
      <w:r>
        <w:t xml:space="preserve">CSF 7 </w:t>
      </w:r>
      <w:r w:rsidR="00AA1F81">
        <w:t xml:space="preserve">inventories the region’s </w:t>
      </w:r>
      <w:r w:rsidR="00EE195B">
        <w:t>position with regards to various environmental</w:t>
      </w:r>
      <w:r w:rsidR="00124571">
        <w:t xml:space="preserve"> metrics</w:t>
      </w:r>
      <w:r w:rsidR="00D33602">
        <w:t>:</w:t>
      </w:r>
    </w:p>
    <w:p w14:paraId="58220FD9" w14:textId="6E9AFB02" w:rsidR="00597542" w:rsidRPr="0015324D" w:rsidRDefault="00597542" w:rsidP="00597542">
      <w:pPr>
        <w:pStyle w:val="Heading4"/>
      </w:pPr>
      <w:bookmarkStart w:id="4" w:name="_Hlk182836510"/>
      <w:r w:rsidRPr="0015324D">
        <w:t xml:space="preserve">Conserved </w:t>
      </w:r>
      <w:r w:rsidR="00732272">
        <w:t>a</w:t>
      </w:r>
      <w:r w:rsidR="00732272" w:rsidRPr="0015324D">
        <w:t xml:space="preserve">reas </w:t>
      </w:r>
    </w:p>
    <w:p w14:paraId="34222826" w14:textId="13496CC7" w:rsidR="00B10B1F" w:rsidRPr="0015324D" w:rsidRDefault="00B10B1F" w:rsidP="00E30091">
      <w:pPr>
        <w:ind w:left="360"/>
        <w:rPr>
          <w:rFonts w:cs="Calibri"/>
        </w:rPr>
      </w:pPr>
      <w:r w:rsidRPr="00B10B1F">
        <w:rPr>
          <w:lang w:val="en-CA"/>
        </w:rPr>
        <w:t xml:space="preserve">Calculates the percentage of conserved areas within each region using the </w:t>
      </w:r>
      <w:hyperlink r:id="rId65" w:history="1">
        <w:r w:rsidRPr="00001A64">
          <w:rPr>
            <w:rStyle w:val="Hyperlink"/>
          </w:rPr>
          <w:t>California Protected Areas Database</w:t>
        </w:r>
      </w:hyperlink>
      <w:r w:rsidRPr="0015324D">
        <w:t xml:space="preserve"> (CPAD)</w:t>
      </w:r>
      <w:r>
        <w:t xml:space="preserve">, </w:t>
      </w:r>
      <w:r w:rsidRPr="00B10B1F">
        <w:rPr>
          <w:lang w:val="en-CA"/>
        </w:rPr>
        <w:t>which identifies lands owned and protected for open space, including all parks from National Forests to neighborhood pocket parks.</w:t>
      </w:r>
    </w:p>
    <w:p w14:paraId="40A2416D" w14:textId="531062BB" w:rsidR="00597542" w:rsidRPr="0015324D" w:rsidRDefault="00597542" w:rsidP="00597542">
      <w:pPr>
        <w:pStyle w:val="Heading4"/>
      </w:pPr>
      <w:r w:rsidRPr="0015324D">
        <w:t xml:space="preserve">Terrestrial and </w:t>
      </w:r>
      <w:r w:rsidR="004352DA">
        <w:t>a</w:t>
      </w:r>
      <w:r w:rsidR="004352DA" w:rsidRPr="0015324D">
        <w:t xml:space="preserve">quatic </w:t>
      </w:r>
      <w:r w:rsidR="004352DA">
        <w:t>s</w:t>
      </w:r>
      <w:r w:rsidR="004352DA" w:rsidRPr="0015324D">
        <w:t xml:space="preserve">pecies </w:t>
      </w:r>
      <w:r w:rsidR="004352DA">
        <w:t>biodiversity</w:t>
      </w:r>
    </w:p>
    <w:p w14:paraId="3F9B1843" w14:textId="1D7170F7" w:rsidR="00896447" w:rsidRDefault="00B7188B" w:rsidP="00896447">
      <w:pPr>
        <w:ind w:left="360"/>
      </w:pPr>
      <w:r w:rsidRPr="1D4EFCFD">
        <w:rPr>
          <w:lang w:val="en-CA"/>
        </w:rPr>
        <w:t>Examines native species richness, rare species richness</w:t>
      </w:r>
      <w:r w:rsidR="00C63F45" w:rsidRPr="1D4EFCFD">
        <w:rPr>
          <w:lang w:val="en-CA"/>
        </w:rPr>
        <w:t xml:space="preserve"> and</w:t>
      </w:r>
      <w:r w:rsidRPr="1D4EFCFD">
        <w:rPr>
          <w:lang w:val="en-CA"/>
        </w:rPr>
        <w:t xml:space="preserve"> irreplaceability using the California Department of Fish and Wildlife's </w:t>
      </w:r>
      <w:hyperlink r:id="rId66">
        <w:r w:rsidRPr="1D4EFCFD">
          <w:rPr>
            <w:rStyle w:val="Hyperlink"/>
          </w:rPr>
          <w:t>Areas of Conservation Emphasis</w:t>
        </w:r>
      </w:hyperlink>
      <w:r>
        <w:t xml:space="preserve"> (ACE) </w:t>
      </w:r>
      <w:r w:rsidRPr="1D4EFCFD">
        <w:rPr>
          <w:lang w:val="en-CA"/>
        </w:rPr>
        <w:t>dataset</w:t>
      </w:r>
      <w:r w:rsidR="00C45847" w:rsidRPr="1D4EFCFD">
        <w:rPr>
          <w:lang w:val="en-CA"/>
        </w:rPr>
        <w:t>.</w:t>
      </w:r>
      <w:r w:rsidRPr="1D4EFCFD">
        <w:rPr>
          <w:lang w:val="en-CA"/>
        </w:rPr>
        <w:t xml:space="preserve"> </w:t>
      </w:r>
      <w:r w:rsidR="00896447">
        <w:t>The species biodiversity metric examines three related measures: native species richness, rare species richness and irreplaceability (i.e.</w:t>
      </w:r>
      <w:r w:rsidR="005F5DCC">
        <w:t>,</w:t>
      </w:r>
      <w:r w:rsidR="00896447">
        <w:t xml:space="preserve"> areas of high endemism that support a unique species with a limited range). ACE ranks areas from 1 (low species diversity) to 5 (high species diversity). The average species biodiversity metric within the region was calculated to determine relative ratings and rankings.</w:t>
      </w:r>
    </w:p>
    <w:p w14:paraId="3D67D4DA" w14:textId="28217C1B" w:rsidR="2B480999" w:rsidRDefault="2B480999" w:rsidP="2703AED6">
      <w:pPr>
        <w:pStyle w:val="Heading4"/>
      </w:pPr>
      <w:r>
        <w:t>Air Quality Index (AQI) (inverse)</w:t>
      </w:r>
    </w:p>
    <w:p w14:paraId="75494473" w14:textId="32F4B50C" w:rsidR="2B480999" w:rsidRPr="00F01522" w:rsidRDefault="2B480999" w:rsidP="2703AED6">
      <w:pPr>
        <w:ind w:left="360"/>
      </w:pPr>
      <w:r w:rsidRPr="00C90640">
        <w:rPr>
          <w:rFonts w:eastAsiaTheme="minorEastAsia" w:cstheme="majorBidi"/>
        </w:rPr>
        <w:t xml:space="preserve">This composite index measures overall air pollution exposure </w:t>
      </w:r>
      <w:proofErr w:type="gramStart"/>
      <w:r w:rsidRPr="00C90640">
        <w:rPr>
          <w:rFonts w:eastAsiaTheme="minorEastAsia" w:cstheme="majorBidi"/>
        </w:rPr>
        <w:t>in a given</w:t>
      </w:r>
      <w:proofErr w:type="gramEnd"/>
      <w:r w:rsidRPr="00C90640">
        <w:rPr>
          <w:rFonts w:eastAsiaTheme="minorEastAsia" w:cstheme="majorBidi"/>
        </w:rPr>
        <w:t xml:space="preserve"> area. It is based on two components: the annual mean concentration of PM2.5 over a three-year period (2015–2017), using data from </w:t>
      </w:r>
      <w:hyperlink r:id="rId67">
        <w:proofErr w:type="spellStart"/>
        <w:r w:rsidRPr="00C90640">
          <w:rPr>
            <w:rFonts w:eastAsiaTheme="minorEastAsia" w:cstheme="majorBidi"/>
          </w:rPr>
          <w:t>CalEnvironScreen</w:t>
        </w:r>
        <w:proofErr w:type="spellEnd"/>
      </w:hyperlink>
      <w:r w:rsidRPr="00C90640">
        <w:rPr>
          <w:rFonts w:eastAsiaTheme="minorEastAsia" w:cstheme="majorBidi"/>
        </w:rPr>
        <w:t xml:space="preserve"> 4.0 and the </w:t>
      </w:r>
      <w:hyperlink r:id="rId68">
        <w:r w:rsidRPr="00C90640">
          <w:rPr>
            <w:rFonts w:eastAsiaTheme="minorEastAsia" w:cstheme="majorBidi"/>
          </w:rPr>
          <w:t>California Air Resources Board</w:t>
        </w:r>
      </w:hyperlink>
      <w:r w:rsidRPr="00C90640">
        <w:rPr>
          <w:rFonts w:eastAsiaTheme="minorEastAsia" w:cstheme="majorBidi"/>
        </w:rPr>
        <w:t xml:space="preserve"> (CARB); and the 8-hour ozone concentration (in ppm) averaged over three years (2017–2019), also from </w:t>
      </w:r>
      <w:proofErr w:type="spellStart"/>
      <w:r w:rsidRPr="00C90640">
        <w:rPr>
          <w:rFonts w:eastAsiaTheme="minorEastAsia" w:cstheme="majorBidi"/>
        </w:rPr>
        <w:t>CalEnvironScreen</w:t>
      </w:r>
      <w:proofErr w:type="spellEnd"/>
      <w:r w:rsidRPr="00C90640">
        <w:rPr>
          <w:rFonts w:eastAsiaTheme="minorEastAsia" w:cstheme="majorBidi"/>
        </w:rPr>
        <w:t>. Higher index values indicate better air quality. The AQI reflects long-term exposure risks to respiratory and cardiovascular health from both fine particulate matter and ground-level ozone.</w:t>
      </w:r>
    </w:p>
    <w:p w14:paraId="6E156BF4" w14:textId="2418C1AD" w:rsidR="00C473A2" w:rsidRPr="0015324D" w:rsidRDefault="00C473A2" w:rsidP="2703AED6">
      <w:pPr>
        <w:pStyle w:val="Heading4"/>
      </w:pPr>
      <w:r>
        <w:t xml:space="preserve">Cultural </w:t>
      </w:r>
      <w:r w:rsidR="001446DF">
        <w:t xml:space="preserve">resources </w:t>
      </w:r>
    </w:p>
    <w:p w14:paraId="642848C2" w14:textId="5F16D69F" w:rsidR="00E30091" w:rsidRPr="0015324D" w:rsidRDefault="00572096" w:rsidP="00E30091">
      <w:pPr>
        <w:ind w:left="360"/>
      </w:pPr>
      <w:r w:rsidRPr="00B10B1F">
        <w:rPr>
          <w:lang w:val="en-CA"/>
        </w:rPr>
        <w:t xml:space="preserve">Quantifies the number of historic places within the region listed in the </w:t>
      </w:r>
      <w:hyperlink r:id="rId69" w:history="1">
        <w:r w:rsidRPr="00B67D9A">
          <w:rPr>
            <w:rStyle w:val="Hyperlink"/>
          </w:rPr>
          <w:t>National Register of Historic Places</w:t>
        </w:r>
      </w:hyperlink>
      <w:r w:rsidRPr="00B10B1F">
        <w:rPr>
          <w:lang w:val="en-CA"/>
        </w:rPr>
        <w:t>, as defined by the National Park Service as worthy of preservation</w:t>
      </w:r>
      <w:r>
        <w:rPr>
          <w:lang w:val="en-CA"/>
        </w:rPr>
        <w:t>.</w:t>
      </w:r>
    </w:p>
    <w:p w14:paraId="68443AC3" w14:textId="3F35C326" w:rsidR="00C473A2" w:rsidRPr="0015324D" w:rsidRDefault="00C473A2" w:rsidP="00C473A2">
      <w:pPr>
        <w:pStyle w:val="Heading4"/>
      </w:pPr>
      <w:r w:rsidRPr="0015324D">
        <w:t xml:space="preserve">Stream </w:t>
      </w:r>
      <w:r w:rsidR="001446DF">
        <w:t>conditions</w:t>
      </w:r>
    </w:p>
    <w:p w14:paraId="47B3168A" w14:textId="5E24F32E" w:rsidR="00572096" w:rsidRPr="0015324D" w:rsidRDefault="00572096" w:rsidP="00E30091">
      <w:pPr>
        <w:ind w:left="360"/>
      </w:pPr>
      <w:r w:rsidRPr="00B10B1F">
        <w:rPr>
          <w:lang w:val="en-CA"/>
        </w:rPr>
        <w:t xml:space="preserve">Evaluates the percentage of streams meeting designated biological uses within the region using the </w:t>
      </w:r>
      <w:hyperlink r:id="rId70" w:history="1">
        <w:r w:rsidRPr="00F41C72">
          <w:rPr>
            <w:rStyle w:val="Hyperlink"/>
          </w:rPr>
          <w:t>California Stream Condition Index</w:t>
        </w:r>
      </w:hyperlink>
      <w:r w:rsidRPr="00B10B1F">
        <w:rPr>
          <w:lang w:val="en-CA"/>
        </w:rPr>
        <w:t xml:space="preserve"> (CSCI), a biological rating tool assessing freshwater stream health.</w:t>
      </w:r>
      <w:r>
        <w:rPr>
          <w:lang w:val="en-CA"/>
        </w:rPr>
        <w:t xml:space="preserve"> </w:t>
      </w:r>
      <w:r w:rsidR="00EC7A10">
        <w:t>This tool</w:t>
      </w:r>
      <w:r w:rsidRPr="0015324D">
        <w:t xml:space="preserve"> is based on an assessment of a wide array of environmental data associated with each stream and sets forth benchmarks for sites based on the local environmental setting. CSCI ratings provide a threshold above which a stream segment is determined to meet designated biological uses. The percentage of those streams that “meet designated biological uses” within </w:t>
      </w:r>
      <w:r>
        <w:t>the region</w:t>
      </w:r>
      <w:r w:rsidRPr="0015324D">
        <w:t xml:space="preserve"> was calculated to determine relative ratings and rankings.</w:t>
      </w:r>
    </w:p>
    <w:p w14:paraId="2E37A9FF" w14:textId="0B335032" w:rsidR="00C473A2" w:rsidRPr="0015324D" w:rsidRDefault="00C473A2" w:rsidP="00C473A2">
      <w:pPr>
        <w:pStyle w:val="Heading4"/>
      </w:pPr>
      <w:r w:rsidRPr="0015324D">
        <w:t>Renewables</w:t>
      </w:r>
    </w:p>
    <w:p w14:paraId="6E44BF80" w14:textId="59D68EED" w:rsidR="00891E33" w:rsidRPr="0015324D" w:rsidRDefault="00891E33" w:rsidP="0015324D">
      <w:pPr>
        <w:ind w:left="360"/>
      </w:pPr>
      <w:r w:rsidRPr="1D4EFCFD">
        <w:rPr>
          <w:lang w:val="en-CA"/>
        </w:rPr>
        <w:t xml:space="preserve">Calculates the total percentage of energy generated by renewable resources within the region using utility-scale (&gt;1 MW) power plant generation data from the </w:t>
      </w:r>
      <w:hyperlink r:id="rId71">
        <w:r w:rsidRPr="1D4EFCFD">
          <w:rPr>
            <w:rStyle w:val="Hyperlink"/>
            <w:lang w:val="en-CA"/>
          </w:rPr>
          <w:t>California Energy Commission</w:t>
        </w:r>
      </w:hyperlink>
      <w:r w:rsidRPr="1D4EFCFD">
        <w:rPr>
          <w:lang w:val="en-CA"/>
        </w:rPr>
        <w:t>.</w:t>
      </w:r>
      <w:r w:rsidR="001A1CD1" w:rsidRPr="1D4EFCFD">
        <w:rPr>
          <w:lang w:val="en-CA"/>
        </w:rPr>
        <w:t xml:space="preserve"> </w:t>
      </w:r>
      <w:r w:rsidR="001A1CD1">
        <w:t>Large hydroelectric plants (&gt;30 MW) are considered non-renewable. The total percentage of energy generated by renewable resources within the region is calculated to determine relative ratings and rankings.</w:t>
      </w:r>
    </w:p>
    <w:p w14:paraId="20416C7E" w14:textId="3816EA25" w:rsidR="3A81BEAA" w:rsidRDefault="3A81BEAA" w:rsidP="05033161">
      <w:pPr>
        <w:pStyle w:val="Heading4"/>
        <w:rPr>
          <w:rFonts w:eastAsia="Times New Roman"/>
          <w:color w:val="auto"/>
        </w:rPr>
      </w:pPr>
      <w:r w:rsidRPr="05033161">
        <w:rPr>
          <w:rFonts w:eastAsia="Times New Roman"/>
        </w:rPr>
        <w:t xml:space="preserve">Water </w:t>
      </w:r>
      <w:r w:rsidR="009608A0">
        <w:rPr>
          <w:rFonts w:eastAsia="Times New Roman"/>
        </w:rPr>
        <w:t>availability</w:t>
      </w:r>
    </w:p>
    <w:p w14:paraId="0E69C5B1" w14:textId="13231533" w:rsidR="001A1CD1" w:rsidRPr="00181549" w:rsidRDefault="001A1CD1" w:rsidP="009C5DA2">
      <w:pPr>
        <w:ind w:left="360"/>
      </w:pPr>
      <w:r w:rsidRPr="001A1CD1">
        <w:t>Combines precipitation, drought and current/future water stress variables to create a comprehensive measure of water scarcity in the region</w:t>
      </w:r>
      <w:r w:rsidR="009C0414">
        <w:t>.</w:t>
      </w:r>
    </w:p>
    <w:p w14:paraId="206E0115" w14:textId="648D5008" w:rsidR="00E30091" w:rsidRPr="0015324D" w:rsidRDefault="00E30091" w:rsidP="00CA5375">
      <w:pPr>
        <w:pStyle w:val="Heading5"/>
        <w:ind w:firstLine="720"/>
        <w:rPr>
          <w:rFonts w:eastAsia="Times New Roman" w:cs="Calibri"/>
          <w:color w:val="auto"/>
        </w:rPr>
      </w:pPr>
      <w:r w:rsidRPr="06BAA256">
        <w:rPr>
          <w:rFonts w:eastAsia="Times New Roman"/>
        </w:rPr>
        <w:lastRenderedPageBreak/>
        <w:t>Drought</w:t>
      </w:r>
    </w:p>
    <w:p w14:paraId="03DE202F" w14:textId="6DA33647" w:rsidR="009C35F2" w:rsidRPr="00B10B1F" w:rsidRDefault="009C35F2" w:rsidP="00CA5375">
      <w:pPr>
        <w:ind w:left="720"/>
        <w:rPr>
          <w:lang w:val="en-CA"/>
        </w:rPr>
      </w:pPr>
      <w:r w:rsidRPr="00B10B1F">
        <w:rPr>
          <w:lang w:val="en-CA"/>
        </w:rPr>
        <w:t xml:space="preserve">Analyzes five years (2019-2023) of weekly </w:t>
      </w:r>
      <w:hyperlink r:id="rId72">
        <w:r w:rsidR="00C066C7" w:rsidRPr="12DAC0B6">
          <w:rPr>
            <w:rStyle w:val="Hyperlink"/>
          </w:rPr>
          <w:t>U.S. Drought Monitor</w:t>
        </w:r>
      </w:hyperlink>
      <w:r w:rsidR="00C066C7" w:rsidRPr="00B10B1F">
        <w:rPr>
          <w:lang w:val="en-CA"/>
        </w:rPr>
        <w:t xml:space="preserve"> </w:t>
      </w:r>
      <w:r w:rsidRPr="00B10B1F">
        <w:rPr>
          <w:lang w:val="en-CA"/>
        </w:rPr>
        <w:t>(USDM) data for California monitoring sites, classifying drought conditions from normal to exceptional.</w:t>
      </w:r>
      <w:r w:rsidR="009F1326">
        <w:rPr>
          <w:lang w:val="en-CA"/>
        </w:rPr>
        <w:t xml:space="preserve"> </w:t>
      </w:r>
      <w:r w:rsidR="009F1326">
        <w:t xml:space="preserve">The </w:t>
      </w:r>
      <w:hyperlink r:id="rId73">
        <w:r w:rsidR="009F1326" w:rsidRPr="12DAC0B6">
          <w:rPr>
            <w:rStyle w:val="Hyperlink"/>
          </w:rPr>
          <w:t>U.S. Drought Monitor</w:t>
        </w:r>
      </w:hyperlink>
      <w:r w:rsidR="009F1326" w:rsidRPr="0015324D">
        <w:t xml:space="preserve"> (USDM) is a weekly assessment of drought conditions by multiple federal agencies based on a variety of water-related variables including precipitation, streamflow, reservoir levels, temperature, evaporation potential, vegetation health</w:t>
      </w:r>
      <w:r w:rsidR="009F1326">
        <w:t xml:space="preserve"> and</w:t>
      </w:r>
      <w:r w:rsidR="009F1326" w:rsidRPr="0015324D">
        <w:t xml:space="preserve"> more.</w:t>
      </w:r>
      <w:r w:rsidR="009F1326">
        <w:t xml:space="preserve"> </w:t>
      </w:r>
      <w:r w:rsidR="009F1326" w:rsidRPr="0015324D">
        <w:t>USDM combines data into six classifications to identify drought conditions from normal (or wet) to exceptional drought.</w:t>
      </w:r>
    </w:p>
    <w:p w14:paraId="3CCAB95C" w14:textId="5EBA3609" w:rsidR="00E30091" w:rsidRPr="0015324D" w:rsidRDefault="1E880B45" w:rsidP="00CA5375">
      <w:pPr>
        <w:pStyle w:val="Heading5"/>
        <w:ind w:left="720"/>
        <w:rPr>
          <w:rFonts w:eastAsia="Source Sans Pro Light" w:cs="Source Sans Pro Light"/>
        </w:rPr>
      </w:pPr>
      <w:r w:rsidRPr="47D1A873">
        <w:rPr>
          <w:rFonts w:eastAsia="Source Sans Pro Light" w:cs="Source Sans Pro Light"/>
        </w:rPr>
        <w:t>Precipitation</w:t>
      </w:r>
    </w:p>
    <w:p w14:paraId="5094CB4A" w14:textId="7EC11C29" w:rsidR="000241E6" w:rsidRPr="0015324D" w:rsidRDefault="000241E6" w:rsidP="00CA5375">
      <w:pPr>
        <w:ind w:left="720"/>
        <w:rPr>
          <w:color w:val="196B24"/>
        </w:rPr>
      </w:pPr>
      <w:r w:rsidRPr="00B10B1F">
        <w:rPr>
          <w:lang w:val="en-CA"/>
        </w:rPr>
        <w:t xml:space="preserve">Computes the average 30-year normal precipitation value (1991-2020) within the region using data from the </w:t>
      </w:r>
      <w:hyperlink r:id="rId74" w:history="1">
        <w:r w:rsidRPr="00B10B1F">
          <w:rPr>
            <w:rStyle w:val="Hyperlink"/>
            <w:lang w:val="en-CA"/>
          </w:rPr>
          <w:t xml:space="preserve">PRISM </w:t>
        </w:r>
        <w:r w:rsidR="00F617DC">
          <w:rPr>
            <w:rStyle w:val="Hyperlink"/>
            <w:lang w:val="en-CA"/>
          </w:rPr>
          <w:t>C</w:t>
        </w:r>
        <w:r w:rsidRPr="00B10B1F">
          <w:rPr>
            <w:rStyle w:val="Hyperlink"/>
            <w:lang w:val="en-CA"/>
          </w:rPr>
          <w:t xml:space="preserve">limate </w:t>
        </w:r>
        <w:r w:rsidR="00F617DC">
          <w:rPr>
            <w:rStyle w:val="Hyperlink"/>
            <w:lang w:val="en-CA"/>
          </w:rPr>
          <w:t>G</w:t>
        </w:r>
        <w:r w:rsidRPr="00B10B1F">
          <w:rPr>
            <w:rStyle w:val="Hyperlink"/>
            <w:lang w:val="en-CA"/>
          </w:rPr>
          <w:t>roup</w:t>
        </w:r>
      </w:hyperlink>
      <w:r w:rsidRPr="00B10B1F">
        <w:rPr>
          <w:lang w:val="en-CA"/>
        </w:rPr>
        <w:t>.</w:t>
      </w:r>
    </w:p>
    <w:p w14:paraId="3A390DE1" w14:textId="6D00383E" w:rsidR="00E30091" w:rsidRPr="0015324D" w:rsidRDefault="00804C7D" w:rsidP="00CA5375">
      <w:pPr>
        <w:pStyle w:val="Heading5"/>
        <w:ind w:left="720"/>
        <w:rPr>
          <w:rFonts w:eastAsia="Times New Roman"/>
          <w:color w:val="auto"/>
        </w:rPr>
      </w:pPr>
      <w:r w:rsidRPr="0015324D">
        <w:rPr>
          <w:rFonts w:eastAsia="Times New Roman"/>
        </w:rPr>
        <w:t>Current water stress</w:t>
      </w:r>
    </w:p>
    <w:p w14:paraId="3BDD277D" w14:textId="3FFC1D11" w:rsidR="00C367F1" w:rsidRDefault="172ECFF5" w:rsidP="00CA5375">
      <w:pPr>
        <w:ind w:left="720"/>
        <w:rPr>
          <w:lang w:val="en-CA"/>
        </w:rPr>
      </w:pPr>
      <w:r w:rsidRPr="177858A2">
        <w:rPr>
          <w:lang w:val="en-CA"/>
        </w:rPr>
        <w:t xml:space="preserve">Identifies and evaluates current global water risks using the </w:t>
      </w:r>
      <w:hyperlink r:id="rId75">
        <w:r w:rsidRPr="177858A2">
          <w:rPr>
            <w:rStyle w:val="Hyperlink"/>
            <w:lang w:val="en-CA"/>
          </w:rPr>
          <w:t>World Resources Institute's (WRI) Aqueduct tools</w:t>
        </w:r>
      </w:hyperlink>
      <w:r w:rsidRPr="177858A2">
        <w:rPr>
          <w:lang w:val="en-CA"/>
        </w:rPr>
        <w:t xml:space="preserve">. </w:t>
      </w:r>
      <w:r w:rsidR="0815202C" w:rsidRPr="177858A2">
        <w:rPr>
          <w:lang w:val="en-CA"/>
        </w:rPr>
        <w:t xml:space="preserve">This metric quantifies </w:t>
      </w:r>
      <w:r w:rsidRPr="177858A2">
        <w:rPr>
          <w:lang w:val="en-CA"/>
        </w:rPr>
        <w:t xml:space="preserve">current water supply (upstream consumptive water users and large dams on downstream water availability) and demand (domestic, industrial, irrigation and livestock uses) factors through Aqueduct's current water stress data. </w:t>
      </w:r>
      <w:r w:rsidR="0815202C" w:rsidRPr="177858A2">
        <w:rPr>
          <w:lang w:val="en-CA"/>
        </w:rPr>
        <w:t xml:space="preserve">It places </w:t>
      </w:r>
      <w:r w:rsidRPr="177858A2">
        <w:rPr>
          <w:lang w:val="en-CA"/>
        </w:rPr>
        <w:t xml:space="preserve">areas into water stress categories ranging from </w:t>
      </w:r>
      <w:r w:rsidR="457FF73C" w:rsidRPr="177858A2">
        <w:rPr>
          <w:lang w:val="en-CA"/>
        </w:rPr>
        <w:t>low to extremely high</w:t>
      </w:r>
      <w:r w:rsidR="556A532B" w:rsidRPr="177858A2">
        <w:rPr>
          <w:lang w:val="en-CA"/>
        </w:rPr>
        <w:t xml:space="preserve"> and a</w:t>
      </w:r>
      <w:r w:rsidRPr="177858A2">
        <w:rPr>
          <w:lang w:val="en-CA"/>
        </w:rPr>
        <w:t>nalyzes current water stress values in each study area to determine relative ratings and rankings</w:t>
      </w:r>
      <w:r w:rsidR="188CDC5B" w:rsidRPr="177858A2">
        <w:rPr>
          <w:lang w:val="en-CA"/>
        </w:rPr>
        <w:t>.</w:t>
      </w:r>
    </w:p>
    <w:p w14:paraId="2BCA3B00" w14:textId="0B72B171" w:rsidR="00E30091" w:rsidRPr="0015324D" w:rsidRDefault="00804C7D" w:rsidP="00CA5375">
      <w:pPr>
        <w:pStyle w:val="Heading5"/>
        <w:ind w:left="720"/>
        <w:rPr>
          <w:rFonts w:eastAsia="Times New Roman"/>
          <w:color w:val="auto"/>
        </w:rPr>
      </w:pPr>
      <w:r w:rsidRPr="0015324D">
        <w:rPr>
          <w:rFonts w:eastAsia="Times New Roman"/>
        </w:rPr>
        <w:t>Future water stress</w:t>
      </w:r>
    </w:p>
    <w:p w14:paraId="08464459" w14:textId="4740C9A0" w:rsidR="00E30091" w:rsidRPr="009B2A82" w:rsidRDefault="188CDC5B" w:rsidP="00CA5375">
      <w:pPr>
        <w:ind w:left="720"/>
        <w:rPr>
          <w:lang w:val="en-CA"/>
        </w:rPr>
      </w:pPr>
      <w:r w:rsidRPr="177858A2">
        <w:rPr>
          <w:lang w:val="en-CA"/>
        </w:rPr>
        <w:t xml:space="preserve">Identifies and evaluates future global water risks using the </w:t>
      </w:r>
      <w:hyperlink r:id="rId76">
        <w:r w:rsidRPr="177858A2">
          <w:rPr>
            <w:rStyle w:val="Hyperlink"/>
            <w:lang w:val="en-CA"/>
          </w:rPr>
          <w:t>World Resources Institute's (WRI) Aqueduct tools</w:t>
        </w:r>
      </w:hyperlink>
      <w:r w:rsidR="5886CA6F" w:rsidRPr="177858A2">
        <w:rPr>
          <w:lang w:val="en-CA"/>
        </w:rPr>
        <w:t xml:space="preserve"> to p</w:t>
      </w:r>
      <w:r w:rsidR="556A532B" w:rsidRPr="177858A2">
        <w:rPr>
          <w:lang w:val="en-CA"/>
        </w:rPr>
        <w:t xml:space="preserve">redict </w:t>
      </w:r>
      <w:r w:rsidRPr="177858A2">
        <w:rPr>
          <w:lang w:val="en-CA"/>
        </w:rPr>
        <w:t xml:space="preserve">future water supply (upstream consumptive water users and large dams on downstream water availability) and demand (domestic, industrial, irrigation and livestock uses) factors through Aqueduct's future water stress data for 2030. </w:t>
      </w:r>
      <w:r w:rsidR="5886CA6F" w:rsidRPr="177858A2">
        <w:rPr>
          <w:lang w:val="en-CA"/>
        </w:rPr>
        <w:t xml:space="preserve">It places </w:t>
      </w:r>
      <w:r w:rsidRPr="177858A2">
        <w:rPr>
          <w:lang w:val="en-CA"/>
        </w:rPr>
        <w:t xml:space="preserve">areas into water stress categories ranging from </w:t>
      </w:r>
      <w:r w:rsidR="457FF73C" w:rsidRPr="177858A2">
        <w:rPr>
          <w:lang w:val="en-CA"/>
        </w:rPr>
        <w:t>low to extremely high</w:t>
      </w:r>
      <w:r w:rsidR="5886CA6F" w:rsidRPr="177858A2">
        <w:rPr>
          <w:lang w:val="en-CA"/>
        </w:rPr>
        <w:t xml:space="preserve"> and a</w:t>
      </w:r>
      <w:r w:rsidRPr="177858A2">
        <w:rPr>
          <w:lang w:val="en-CA"/>
        </w:rPr>
        <w:t>nalyzes future water stress predictions for 2030 in each study area to determine relative ratings and rankings</w:t>
      </w:r>
      <w:r w:rsidR="7BCFB0D8">
        <w:t>.</w:t>
      </w:r>
    </w:p>
    <w:bookmarkEnd w:id="4"/>
    <w:p w14:paraId="08F393EF" w14:textId="150F9984" w:rsidR="008B10E3" w:rsidRPr="002E45A9" w:rsidRDefault="00184FF3" w:rsidP="008B10E3">
      <w:pPr>
        <w:pStyle w:val="Heading3"/>
      </w:pPr>
      <w:r>
        <w:t>CSF 7 q</w:t>
      </w:r>
      <w:r w:rsidRPr="002E45A9">
        <w:t xml:space="preserve">ualitative </w:t>
      </w:r>
      <w:r>
        <w:t>r</w:t>
      </w:r>
      <w:r w:rsidRPr="002E45A9">
        <w:t xml:space="preserve">atings </w:t>
      </w:r>
      <w:r w:rsidR="008B10E3" w:rsidRPr="002E45A9">
        <w:t xml:space="preserve">and </w:t>
      </w:r>
      <w:r>
        <w:t>findings</w:t>
      </w:r>
    </w:p>
    <w:p w14:paraId="25B29DD9" w14:textId="7374F048" w:rsidR="008F1217" w:rsidRPr="002E45A9" w:rsidRDefault="008F1217" w:rsidP="008F1217">
      <w:r w:rsidRPr="002E45A9">
        <w:t>Qualitatively, the panelists assessed the region’s performance on CSF 7 across the following criteria:</w:t>
      </w:r>
    </w:p>
    <w:p w14:paraId="0D32D001" w14:textId="0ECA40A1" w:rsidR="008F1217" w:rsidRPr="002E45A9" w:rsidRDefault="00041369" w:rsidP="009315E7">
      <w:pPr>
        <w:pStyle w:val="Heading4"/>
      </w:pPr>
      <w:r w:rsidRPr="528B715E">
        <w:t>Managing p</w:t>
      </w:r>
      <w:r w:rsidR="008F1217" w:rsidRPr="528B715E">
        <w:t xml:space="preserve">rotected </w:t>
      </w:r>
      <w:r w:rsidRPr="528B715E">
        <w:t>sites</w:t>
      </w:r>
    </w:p>
    <w:p w14:paraId="59E3E854" w14:textId="59515EA1" w:rsidR="00E30091" w:rsidRPr="002E45A9" w:rsidRDefault="00E30091" w:rsidP="00011BF5">
      <w:pPr>
        <w:spacing w:line="240" w:lineRule="auto"/>
        <w:ind w:left="360"/>
      </w:pPr>
      <w:r w:rsidRPr="002E45A9">
        <w:t>Evaluates the accessibility, usefulness</w:t>
      </w:r>
      <w:r w:rsidR="00E2142C">
        <w:t xml:space="preserve"> and</w:t>
      </w:r>
      <w:r w:rsidRPr="002E45A9">
        <w:t xml:space="preserve"> effectiveness of maintaining and using a list of natural heritage sites and protected areas, including ongoing conservation processes.</w:t>
      </w:r>
    </w:p>
    <w:p w14:paraId="26ABCA60" w14:textId="12919F35" w:rsidR="008F1217" w:rsidRPr="002E45A9" w:rsidRDefault="008F1217" w:rsidP="009315E7">
      <w:pPr>
        <w:pStyle w:val="Heading4"/>
      </w:pPr>
      <w:r w:rsidRPr="002E45A9">
        <w:t xml:space="preserve">Guidelines for </w:t>
      </w:r>
      <w:r w:rsidR="008B0C6A">
        <w:t>b</w:t>
      </w:r>
      <w:r w:rsidR="008B0C6A" w:rsidRPr="002E45A9">
        <w:t xml:space="preserve">ehavior </w:t>
      </w:r>
      <w:r w:rsidRPr="002E45A9">
        <w:t xml:space="preserve">at </w:t>
      </w:r>
      <w:r w:rsidR="008B0C6A">
        <w:t>n</w:t>
      </w:r>
      <w:r w:rsidR="008B0C6A" w:rsidRPr="002E45A9">
        <w:t xml:space="preserve">atural </w:t>
      </w:r>
      <w:r w:rsidR="008B0C6A" w:rsidRPr="1037DA02">
        <w:t>sites</w:t>
      </w:r>
    </w:p>
    <w:p w14:paraId="255304A5" w14:textId="77777777" w:rsidR="00E30091" w:rsidRPr="002E45A9" w:rsidRDefault="00E30091" w:rsidP="00011BF5">
      <w:pPr>
        <w:spacing w:line="240" w:lineRule="auto"/>
        <w:ind w:left="360"/>
      </w:pPr>
      <w:r w:rsidRPr="002E45A9">
        <w:t>Assesses the presence and effectiveness of regionwide guidelines for visitor behavior and tour operators to ensure responsible management of natural sites.</w:t>
      </w:r>
    </w:p>
    <w:p w14:paraId="07499393" w14:textId="0C95D312" w:rsidR="008F1217" w:rsidRPr="002E45A9" w:rsidRDefault="008F1217" w:rsidP="009315E7">
      <w:pPr>
        <w:pStyle w:val="Heading4"/>
      </w:pPr>
      <w:r w:rsidRPr="1037DA02">
        <w:t xml:space="preserve">Ethical </w:t>
      </w:r>
      <w:r w:rsidR="008B0C6A" w:rsidRPr="1037DA02">
        <w:t>animal tourism</w:t>
      </w:r>
    </w:p>
    <w:p w14:paraId="785E60AC" w14:textId="61A58449" w:rsidR="00E30091" w:rsidRPr="002E45A9" w:rsidRDefault="00E30091" w:rsidP="00011BF5">
      <w:pPr>
        <w:spacing w:line="240" w:lineRule="auto"/>
        <w:ind w:left="360"/>
      </w:pPr>
      <w:r w:rsidRPr="002E45A9">
        <w:t xml:space="preserve">Focuses on guidelines for ethical animal interactions in tourism, ensuring alignment with global standards like the </w:t>
      </w:r>
      <w:hyperlink r:id="rId77" w:history="1">
        <w:r w:rsidRPr="00C10526">
          <w:rPr>
            <w:rStyle w:val="Hyperlink"/>
          </w:rPr>
          <w:t>Global Welfare Guidance for Animals and Tourism</w:t>
        </w:r>
      </w:hyperlink>
      <w:r w:rsidRPr="002E45A9">
        <w:t>.</w:t>
      </w:r>
    </w:p>
    <w:p w14:paraId="7F206B53" w14:textId="268572D5" w:rsidR="008F1217" w:rsidRPr="002E45A9" w:rsidRDefault="008F1217" w:rsidP="009315E7">
      <w:pPr>
        <w:pStyle w:val="Heading4"/>
      </w:pPr>
      <w:r w:rsidRPr="002E45A9">
        <w:t>Reusable</w:t>
      </w:r>
      <w:r w:rsidR="008B0C6A">
        <w:t xml:space="preserve"> </w:t>
      </w:r>
      <w:r w:rsidR="008B0C6A" w:rsidRPr="1037DA02">
        <w:t>products</w:t>
      </w:r>
    </w:p>
    <w:p w14:paraId="5058FCF4" w14:textId="77777777" w:rsidR="00E30091" w:rsidRPr="002E45A9" w:rsidRDefault="00E30091" w:rsidP="00011BF5">
      <w:pPr>
        <w:spacing w:line="240" w:lineRule="auto"/>
        <w:ind w:left="360"/>
      </w:pPr>
      <w:r w:rsidRPr="002E45A9">
        <w:t>Measures the prioritization of reusable products over single-use items in tourism businesses and attractions.</w:t>
      </w:r>
    </w:p>
    <w:p w14:paraId="613215E5" w14:textId="19D6216A" w:rsidR="008F1217" w:rsidRPr="002E45A9" w:rsidRDefault="008F1217" w:rsidP="009315E7">
      <w:pPr>
        <w:pStyle w:val="Heading4"/>
      </w:pPr>
      <w:r w:rsidRPr="4654F2D0">
        <w:lastRenderedPageBreak/>
        <w:t xml:space="preserve">Water </w:t>
      </w:r>
      <w:r w:rsidR="008B0C6A" w:rsidRPr="4654F2D0">
        <w:t>usage</w:t>
      </w:r>
    </w:p>
    <w:p w14:paraId="7C3B9BD3" w14:textId="77777777" w:rsidR="00E30091" w:rsidRPr="002E45A9" w:rsidRDefault="00E30091" w:rsidP="00011BF5">
      <w:pPr>
        <w:spacing w:line="240" w:lineRule="auto"/>
        <w:ind w:left="360"/>
      </w:pPr>
      <w:r w:rsidRPr="002E45A9">
        <w:t>Examines the implementation and effectiveness of regionwide water conservation guidelines for tourism-related activities.</w:t>
      </w:r>
    </w:p>
    <w:p w14:paraId="6A2E962B" w14:textId="2FDE4193" w:rsidR="008F1217" w:rsidRPr="002E45A9" w:rsidRDefault="008F1217" w:rsidP="009315E7">
      <w:pPr>
        <w:pStyle w:val="Heading4"/>
      </w:pPr>
      <w:r w:rsidRPr="002E45A9">
        <w:t xml:space="preserve">Emissions </w:t>
      </w:r>
      <w:r w:rsidR="008B0C6A">
        <w:t>i</w:t>
      </w:r>
      <w:r w:rsidR="008B0C6A" w:rsidRPr="002E45A9">
        <w:t xml:space="preserve">nformation </w:t>
      </w:r>
      <w:r w:rsidRPr="002E45A9">
        <w:t xml:space="preserve">on </w:t>
      </w:r>
      <w:r w:rsidR="008B0C6A" w:rsidRPr="4AE816D5">
        <w:t>tourism</w:t>
      </w:r>
    </w:p>
    <w:p w14:paraId="78848F1D" w14:textId="77777777" w:rsidR="00E30091" w:rsidRPr="002E45A9" w:rsidRDefault="00E30091" w:rsidP="00F87620">
      <w:pPr>
        <w:ind w:left="360"/>
      </w:pPr>
      <w:r w:rsidRPr="002E45A9">
        <w:t>Considers how tourism's impact on emissions is measured and integrated into broader environmental goals and policies.</w:t>
      </w:r>
    </w:p>
    <w:p w14:paraId="2B4D16FB" w14:textId="2B76543B" w:rsidR="00323238" w:rsidRPr="0050622D" w:rsidRDefault="00323238" w:rsidP="00323238">
      <w:r>
        <w:t xml:space="preserve">The six individual performance criteria and the subsequent findings are shown in Table 7 below: </w:t>
      </w:r>
    </w:p>
    <w:p w14:paraId="47775AF3" w14:textId="75B9462A" w:rsidR="00323238" w:rsidRPr="0050622D" w:rsidRDefault="00323238" w:rsidP="00323238">
      <w:r w:rsidRPr="0050622D">
        <w:rPr>
          <w:b/>
          <w:bCs/>
          <w:i/>
          <w:iCs/>
        </w:rPr>
        <w:t>Table 7. CSF 7</w:t>
      </w:r>
      <w:r w:rsidRPr="0050622D" w:rsidDel="00184FF3">
        <w:rPr>
          <w:b/>
          <w:bCs/>
          <w:i/>
          <w:iCs/>
        </w:rPr>
        <w:t xml:space="preserve"> </w:t>
      </w:r>
      <w:r w:rsidRPr="0050622D">
        <w:rPr>
          <w:b/>
          <w:bCs/>
          <w:i/>
          <w:iCs/>
        </w:rPr>
        <w:t>qualitative performance criteria ratings</w:t>
      </w:r>
    </w:p>
    <w:tbl>
      <w:tblPr>
        <w:tblW w:w="5000" w:type="pct"/>
        <w:tblCellMar>
          <w:left w:w="0" w:type="dxa"/>
          <w:right w:w="0" w:type="dxa"/>
        </w:tblCellMar>
        <w:tblLook w:val="0420" w:firstRow="1" w:lastRow="0" w:firstColumn="0" w:lastColumn="0" w:noHBand="0" w:noVBand="1"/>
      </w:tblPr>
      <w:tblGrid>
        <w:gridCol w:w="1476"/>
        <w:gridCol w:w="1400"/>
        <w:gridCol w:w="7184"/>
      </w:tblGrid>
      <w:tr w:rsidR="00F01522" w:rsidRPr="00F01522" w14:paraId="3A0B7E30" w14:textId="77777777" w:rsidTr="00F01522">
        <w:trPr>
          <w:trHeight w:val="779"/>
        </w:trPr>
        <w:tc>
          <w:tcPr>
            <w:tcW w:w="693"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48E8E5DB" w14:textId="77777777" w:rsidR="00323238" w:rsidRPr="00C90640" w:rsidRDefault="00323238" w:rsidP="00353979">
            <w:pPr>
              <w:jc w:val="center"/>
              <w:rPr>
                <w:color w:val="FFFFFF" w:themeColor="background1"/>
                <w:lang w:val="en-CA"/>
              </w:rPr>
            </w:pPr>
            <w:r w:rsidRPr="00C90640">
              <w:rPr>
                <w:b/>
                <w:bCs/>
                <w:color w:val="FFFFFF" w:themeColor="background1"/>
              </w:rPr>
              <w:t>Performance criteria</w:t>
            </w:r>
          </w:p>
        </w:tc>
        <w:tc>
          <w:tcPr>
            <w:tcW w:w="71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29C6EAA3" w14:textId="77777777" w:rsidR="00323238" w:rsidRPr="00C90640" w:rsidRDefault="00323238" w:rsidP="00353979">
            <w:pPr>
              <w:jc w:val="center"/>
              <w:rPr>
                <w:color w:val="FFFFFF" w:themeColor="background1"/>
                <w:lang w:val="en-CA"/>
              </w:rPr>
            </w:pPr>
            <w:r w:rsidRPr="00C90640">
              <w:rPr>
                <w:b/>
                <w:bCs/>
                <w:color w:val="FFFFFF" w:themeColor="background1"/>
              </w:rPr>
              <w:t>Rating</w:t>
            </w:r>
          </w:p>
        </w:tc>
        <w:tc>
          <w:tcPr>
            <w:tcW w:w="359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4F242E27" w14:textId="77777777" w:rsidR="00323238" w:rsidRPr="00C90640" w:rsidRDefault="00323238" w:rsidP="00353979">
            <w:pPr>
              <w:jc w:val="center"/>
              <w:rPr>
                <w:color w:val="FFFFFF" w:themeColor="background1"/>
                <w:lang w:val="en-CA"/>
              </w:rPr>
            </w:pPr>
            <w:r w:rsidRPr="00C90640">
              <w:rPr>
                <w:b/>
                <w:bCs/>
                <w:color w:val="FFFFFF" w:themeColor="background1"/>
              </w:rPr>
              <w:t>Findings</w:t>
            </w:r>
          </w:p>
        </w:tc>
      </w:tr>
      <w:tr w:rsidR="00323238" w:rsidRPr="0050622D" w14:paraId="75B60B8D" w14:textId="77777777" w:rsidTr="18E55A4C">
        <w:trPr>
          <w:trHeight w:val="1008"/>
        </w:trPr>
        <w:tc>
          <w:tcPr>
            <w:tcW w:w="693"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65F4C01E" w14:textId="77777777" w:rsidR="00323238" w:rsidRPr="0050622D" w:rsidRDefault="00323238" w:rsidP="00353979">
            <w:pPr>
              <w:jc w:val="center"/>
              <w:rPr>
                <w:b/>
                <w:bCs/>
                <w:lang w:val="en-CA"/>
              </w:rPr>
            </w:pPr>
            <w:r w:rsidRPr="0050622D">
              <w:rPr>
                <w:b/>
                <w:bCs/>
              </w:rPr>
              <w:t>Managing protected sites</w:t>
            </w:r>
          </w:p>
        </w:tc>
        <w:tc>
          <w:tcPr>
            <w:tcW w:w="716"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797B2014" w14:textId="77777777" w:rsidR="00323238" w:rsidRPr="0050622D" w:rsidRDefault="00323238" w:rsidP="00353979">
            <w:pPr>
              <w:jc w:val="center"/>
              <w:rPr>
                <w:lang w:val="en-CA"/>
              </w:rPr>
            </w:pPr>
            <w:r w:rsidRPr="0050622D">
              <w:rPr>
                <w:lang w:val="en-CA"/>
              </w:rPr>
              <w:t>3.3</w:t>
            </w:r>
          </w:p>
        </w:tc>
        <w:tc>
          <w:tcPr>
            <w:tcW w:w="359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038A8FA9" w14:textId="072F5C62" w:rsidR="00323238" w:rsidRPr="0050622D" w:rsidRDefault="00F01522" w:rsidP="00353979">
            <w:r>
              <w:t>Panelist report that l</w:t>
            </w:r>
            <w:r w:rsidR="00323238">
              <w:t xml:space="preserve">ists of natural heritage sites and other protected areas exist and are moderately accessible to tourism stakeholders. </w:t>
            </w:r>
            <w:r>
              <w:t xml:space="preserve">These lists </w:t>
            </w:r>
            <w:r w:rsidR="00323238">
              <w:t>are considered by panelists to be moderately useful to tourism stakeholders</w:t>
            </w:r>
            <w:r>
              <w:t xml:space="preserve"> and</w:t>
            </w:r>
            <w:r w:rsidR="00323238">
              <w:t xml:space="preserve"> provide </w:t>
            </w:r>
            <w:r>
              <w:t>current</w:t>
            </w:r>
            <w:r w:rsidR="00323238">
              <w:t xml:space="preserve"> and actionable information. </w:t>
            </w:r>
            <w:r>
              <w:t xml:space="preserve">Panelists also note </w:t>
            </w:r>
            <w:r w:rsidR="00323238">
              <w:t>there is an ongoing process to measure performance and implement steps to protect natural assets in the region, but it is minimally effective.</w:t>
            </w:r>
          </w:p>
        </w:tc>
      </w:tr>
      <w:tr w:rsidR="00323238" w:rsidRPr="0050622D" w14:paraId="7DA1659E" w14:textId="77777777" w:rsidTr="18E55A4C">
        <w:trPr>
          <w:trHeight w:val="1008"/>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63E61329" w14:textId="77777777" w:rsidR="00323238" w:rsidRPr="0050622D" w:rsidRDefault="00323238" w:rsidP="00353979">
            <w:pPr>
              <w:jc w:val="center"/>
              <w:rPr>
                <w:b/>
                <w:bCs/>
                <w:lang w:val="en-CA"/>
              </w:rPr>
            </w:pPr>
            <w:r w:rsidRPr="0050622D">
              <w:rPr>
                <w:b/>
                <w:bCs/>
              </w:rPr>
              <w:t>Guidelines for behavior at natural sites</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0C79FE50" w14:textId="77777777" w:rsidR="00323238" w:rsidRPr="0050622D" w:rsidRDefault="00323238" w:rsidP="00353979">
            <w:pPr>
              <w:jc w:val="center"/>
              <w:rPr>
                <w:lang w:val="en-CA"/>
              </w:rPr>
            </w:pPr>
            <w:r w:rsidRPr="0050622D">
              <w:rPr>
                <w:lang w:val="en-CA"/>
              </w:rPr>
              <w:t>2</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3F1E048D" w14:textId="48731FA7" w:rsidR="00323238" w:rsidRPr="0050622D" w:rsidRDefault="00323238" w:rsidP="00353979">
            <w:r>
              <w:t xml:space="preserve">Panelists </w:t>
            </w:r>
            <w:r w:rsidR="00F01522">
              <w:t>agree</w:t>
            </w:r>
            <w:r>
              <w:t xml:space="preserve"> that there are not consistent regionwide guidelines in place for appropriate visitor behavior at natural sites. </w:t>
            </w:r>
            <w:r w:rsidR="004F2959">
              <w:t>While</w:t>
            </w:r>
            <w:r w:rsidR="00FA6099">
              <w:t xml:space="preserve"> regionwide </w:t>
            </w:r>
            <w:r>
              <w:t>guidelines are in place for tour operators and tour guides on visitor management at natural sites,</w:t>
            </w:r>
            <w:r w:rsidR="00FA6099">
              <w:t xml:space="preserve"> </w:t>
            </w:r>
            <w:r>
              <w:t>they are</w:t>
            </w:r>
            <w:r w:rsidR="00FA6099">
              <w:t xml:space="preserve"> viewed as</w:t>
            </w:r>
            <w:r>
              <w:t xml:space="preserve"> minimally effective</w:t>
            </w:r>
            <w:r w:rsidR="004F2959">
              <w:t>, according to the panelists</w:t>
            </w:r>
            <w:r>
              <w:t>.</w:t>
            </w:r>
          </w:p>
        </w:tc>
      </w:tr>
      <w:tr w:rsidR="00323238" w:rsidRPr="0050622D" w14:paraId="4BA56A44" w14:textId="77777777" w:rsidTr="00C90640">
        <w:trPr>
          <w:trHeight w:val="502"/>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33C45AC8" w14:textId="77777777" w:rsidR="00323238" w:rsidRPr="0050622D" w:rsidRDefault="00323238" w:rsidP="00353979">
            <w:pPr>
              <w:jc w:val="center"/>
              <w:rPr>
                <w:b/>
                <w:bCs/>
                <w:lang w:val="en-CA"/>
              </w:rPr>
            </w:pPr>
            <w:r w:rsidRPr="0050622D">
              <w:rPr>
                <w:b/>
                <w:bCs/>
              </w:rPr>
              <w:t>Ethical animal tourism</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0EDB7237" w14:textId="77777777" w:rsidR="00323238" w:rsidRPr="0050622D" w:rsidRDefault="00323238" w:rsidP="00353979">
            <w:pPr>
              <w:jc w:val="center"/>
              <w:rPr>
                <w:lang w:val="en-CA"/>
              </w:rPr>
            </w:pPr>
            <w:r w:rsidRPr="0050622D">
              <w:rPr>
                <w:lang w:val="en-CA"/>
              </w:rPr>
              <w:t>3</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13B96D5E" w14:textId="03923472" w:rsidR="00323238" w:rsidRPr="0050622D" w:rsidRDefault="00323238" w:rsidP="00353979">
            <w:r>
              <w:t>Panelists indicate that there are regionwide guidelines for ethical animal tourism, including interaction with wildlife and domesticated animals, but they are minimally effective.</w:t>
            </w:r>
          </w:p>
        </w:tc>
      </w:tr>
      <w:tr w:rsidR="00323238" w:rsidRPr="0050622D" w14:paraId="351E031C" w14:textId="77777777" w:rsidTr="00C90640">
        <w:trPr>
          <w:trHeight w:val="628"/>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23EA989C" w14:textId="77777777" w:rsidR="00323238" w:rsidRPr="0050622D" w:rsidRDefault="00323238" w:rsidP="00353979">
            <w:pPr>
              <w:jc w:val="center"/>
              <w:rPr>
                <w:b/>
                <w:bCs/>
                <w:lang w:val="en-CA"/>
              </w:rPr>
            </w:pPr>
            <w:r w:rsidRPr="0050622D">
              <w:rPr>
                <w:b/>
                <w:bCs/>
              </w:rPr>
              <w:t>Reusable products</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79ED4D58" w14:textId="77777777" w:rsidR="00323238" w:rsidRPr="0050622D" w:rsidRDefault="00323238" w:rsidP="00353979">
            <w:pPr>
              <w:jc w:val="center"/>
              <w:rPr>
                <w:lang w:val="en-CA"/>
              </w:rPr>
            </w:pPr>
            <w:r w:rsidRPr="0050622D">
              <w:rPr>
                <w:lang w:val="en-CA"/>
              </w:rPr>
              <w:t>3</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1FBD1D69" w14:textId="594A4AF7" w:rsidR="00323238" w:rsidRPr="0050622D" w:rsidRDefault="1CD989B3" w:rsidP="00353979">
            <w:r>
              <w:t>Panelists report that t</w:t>
            </w:r>
            <w:r w:rsidR="00323238">
              <w:t xml:space="preserve">ourism businesses and attractions are focused on using reusable products, </w:t>
            </w:r>
            <w:r w:rsidR="004F2959">
              <w:t>but</w:t>
            </w:r>
            <w:r w:rsidR="00323238">
              <w:t xml:space="preserve"> they sometimes </w:t>
            </w:r>
            <w:r w:rsidR="004F2959">
              <w:t xml:space="preserve">still </w:t>
            </w:r>
            <w:r w:rsidR="00323238">
              <w:t>use single-use products.</w:t>
            </w:r>
          </w:p>
        </w:tc>
      </w:tr>
      <w:tr w:rsidR="00323238" w:rsidRPr="0050622D" w14:paraId="782A092A" w14:textId="77777777" w:rsidTr="00C90640">
        <w:trPr>
          <w:trHeight w:val="430"/>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5B6A2B54" w14:textId="77777777" w:rsidR="00323238" w:rsidRPr="0050622D" w:rsidRDefault="00323238" w:rsidP="00353979">
            <w:pPr>
              <w:jc w:val="center"/>
              <w:rPr>
                <w:b/>
                <w:bCs/>
                <w:lang w:val="en-CA"/>
              </w:rPr>
            </w:pPr>
            <w:r w:rsidRPr="0050622D">
              <w:rPr>
                <w:b/>
                <w:bCs/>
              </w:rPr>
              <w:t>Water usage</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130D0D69" w14:textId="77777777" w:rsidR="00323238" w:rsidRPr="0050622D" w:rsidRDefault="00323238" w:rsidP="00353979">
            <w:pPr>
              <w:jc w:val="center"/>
              <w:rPr>
                <w:lang w:val="en-CA"/>
              </w:rPr>
            </w:pPr>
            <w:r w:rsidRPr="0050622D">
              <w:rPr>
                <w:lang w:val="en-CA"/>
              </w:rPr>
              <w:t>4</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76C82B17" w14:textId="122ABB3A" w:rsidR="00323238" w:rsidRPr="0050622D" w:rsidRDefault="00323238" w:rsidP="00353979">
            <w:r>
              <w:t>There are effective regionwide guidelines in place related to water conservation by tourism businesses and attractions</w:t>
            </w:r>
            <w:r w:rsidR="64791C91">
              <w:t xml:space="preserve">, according to panelists. </w:t>
            </w:r>
          </w:p>
        </w:tc>
      </w:tr>
      <w:tr w:rsidR="00323238" w:rsidRPr="0050622D" w14:paraId="14548E15" w14:textId="77777777" w:rsidTr="00C90640">
        <w:trPr>
          <w:trHeight w:val="502"/>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7FAE7B2D" w14:textId="77777777" w:rsidR="00323238" w:rsidRPr="0050622D" w:rsidRDefault="00323238" w:rsidP="00353979">
            <w:pPr>
              <w:jc w:val="center"/>
              <w:rPr>
                <w:b/>
                <w:bCs/>
                <w:lang w:val="en-CA"/>
              </w:rPr>
            </w:pPr>
            <w:r w:rsidRPr="0050622D">
              <w:rPr>
                <w:b/>
                <w:bCs/>
              </w:rPr>
              <w:t>Emissions information on tourism</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3B87557" w14:textId="77777777" w:rsidR="00323238" w:rsidRPr="0050622D" w:rsidRDefault="00323238" w:rsidP="00353979">
            <w:pPr>
              <w:jc w:val="center"/>
              <w:rPr>
                <w:lang w:val="en-CA"/>
              </w:rPr>
            </w:pPr>
            <w:r w:rsidRPr="0050622D">
              <w:rPr>
                <w:lang w:val="en-CA"/>
              </w:rPr>
              <w:t>3</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367A7E85" w14:textId="74CDC2D8" w:rsidR="00323238" w:rsidRPr="0050622D" w:rsidRDefault="00323238" w:rsidP="00353979">
            <w:r>
              <w:t xml:space="preserve">The region is at an initial stage of monitoring tourism's impact on the region's overall </w:t>
            </w:r>
            <w:r w:rsidR="004F2959">
              <w:t xml:space="preserve">GHG </w:t>
            </w:r>
            <w:r>
              <w:t xml:space="preserve">emissions goal, </w:t>
            </w:r>
            <w:r w:rsidR="3EDB9E5A">
              <w:t xml:space="preserve">according to panelists. </w:t>
            </w:r>
          </w:p>
        </w:tc>
      </w:tr>
    </w:tbl>
    <w:p w14:paraId="0ADB8656" w14:textId="77777777" w:rsidR="00323238" w:rsidRDefault="00323238" w:rsidP="00323238">
      <w:pPr>
        <w:rPr>
          <w:rFonts w:eastAsia="Source Sans Pro Light" w:cs="Source Sans Pro Light"/>
          <w:i/>
          <w:iCs/>
          <w:color w:val="000000" w:themeColor="text1"/>
        </w:rPr>
      </w:pPr>
    </w:p>
    <w:p w14:paraId="22BD4864" w14:textId="6E6E70AD" w:rsidR="00323238" w:rsidRDefault="00323238" w:rsidP="18E55A4C">
      <w:pPr>
        <w:jc w:val="center"/>
        <w:rPr>
          <w:rFonts w:eastAsia="Source Sans Pro Light" w:cs="Source Sans Pro Light"/>
          <w:i/>
          <w:iCs/>
          <w:color w:val="000000" w:themeColor="text1"/>
        </w:rPr>
      </w:pPr>
      <w:r>
        <w:rPr>
          <w:noProof/>
        </w:rPr>
        <w:lastRenderedPageBreak/>
        <mc:AlternateContent>
          <mc:Choice Requires="wps">
            <w:drawing>
              <wp:inline distT="45720" distB="45720" distL="114300" distR="114300" wp14:anchorId="0067B2F0" wp14:editId="20792833">
                <wp:extent cx="5029200" cy="1404620"/>
                <wp:effectExtent l="25400" t="25400" r="38100" b="38100"/>
                <wp:docPr id="163526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5C028F6E" w14:textId="77777777" w:rsidR="00323238" w:rsidRPr="00150C26" w:rsidRDefault="00323238" w:rsidP="00323238">
                            <w:pPr>
                              <w:spacing w:before="160"/>
                              <w:jc w:val="center"/>
                            </w:pPr>
                            <w:r w:rsidRPr="00150C26">
                              <w:t>“While residential data demonstrates that policies for water are effective, we do not know if water usage in the tourism sector has decreased.</w:t>
                            </w:r>
                            <w:r>
                              <w:t xml:space="preserve"> </w:t>
                            </w:r>
                            <w:r w:rsidRPr="00150C26">
                              <w:t>That type of data either doesn't exist or is very hard to find.”</w:t>
                            </w:r>
                          </w:p>
                          <w:p w14:paraId="25FA84A0" w14:textId="77777777" w:rsidR="00323238" w:rsidRPr="00150C26" w:rsidRDefault="00323238" w:rsidP="00323238">
                            <w:pPr>
                              <w:jc w:val="center"/>
                            </w:pPr>
                            <w:r w:rsidRPr="00150C26">
                              <w:t xml:space="preserve">“Visitors often think of </w:t>
                            </w:r>
                            <w:r>
                              <w:t>Los Angeles County</w:t>
                            </w:r>
                            <w:r w:rsidRPr="00150C26">
                              <w:t xml:space="preserve"> as a very urbanized area with no natural sites. When they do see wildlife, they are not respectful. A code of conduct is needed.”</w:t>
                            </w:r>
                          </w:p>
                          <w:p w14:paraId="16BEA859" w14:textId="77777777" w:rsidR="00323238" w:rsidRDefault="00323238" w:rsidP="00323238">
                            <w:pPr>
                              <w:jc w:val="center"/>
                            </w:pPr>
                            <w:r w:rsidRPr="00150C26">
                              <w:t>“Some regionwide guidelines are in place for nature parks but aren’t for things like recreational fishing.” </w:t>
                            </w:r>
                            <w:r w:rsidRPr="00F93C00">
                              <w:rPr>
                                <w:highlight w:val="yellow"/>
                              </w:rPr>
                              <w:t> </w:t>
                            </w:r>
                          </w:p>
                        </w:txbxContent>
                      </wps:txbx>
                      <wps:bodyPr rot="0" vert="horz" wrap="square" lIns="91440" tIns="45720" rIns="91440" bIns="45720" anchor="t" anchorCtr="0">
                        <a:spAutoFit/>
                      </wps:bodyPr>
                    </wps:wsp>
                  </a:graphicData>
                </a:graphic>
              </wp:inline>
            </w:drawing>
          </mc:Choice>
          <mc:Fallback>
            <w:pict>
              <v:shape w14:anchorId="0067B2F0" id="_x0000_s1033" type="#_x0000_t202" style="width:39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" strokeweight="4.5pt">
                <v:stroke linestyle="thickThin"/>
                <v:textbox style="mso-fit-shape-to-text:t">
                  <w:txbxContent>
                    <w:p w14:paraId="5C028F6E" w14:textId="77777777" w:rsidR="00323238" w:rsidRPr="00150C26" w:rsidRDefault="00323238" w:rsidP="00323238">
                      <w:pPr>
                        <w:spacing w:before="160"/>
                        <w:jc w:val="center"/>
                      </w:pPr>
                      <w:r w:rsidRPr="00150C26">
                        <w:t>“While residential data demonstrates that policies for water are effective, we do not know if water usage in the tourism sector has decreased.</w:t>
                      </w:r>
                      <w:r>
                        <w:t xml:space="preserve"> </w:t>
                      </w:r>
                      <w:r w:rsidRPr="00150C26">
                        <w:t>That type of data either doesn't exist or is very hard to find.”</w:t>
                      </w:r>
                    </w:p>
                    <w:p w14:paraId="25FA84A0" w14:textId="77777777" w:rsidR="00323238" w:rsidRPr="00150C26" w:rsidRDefault="00323238" w:rsidP="00323238">
                      <w:pPr>
                        <w:jc w:val="center"/>
                      </w:pPr>
                      <w:r w:rsidRPr="00150C26">
                        <w:t xml:space="preserve">“Visitors often think of </w:t>
                      </w:r>
                      <w:r>
                        <w:t>Los Angeles County</w:t>
                      </w:r>
                      <w:r w:rsidRPr="00150C26">
                        <w:t xml:space="preserve"> as a very urbanized area with no natural sites. When they do see wildlife, they are not respectful. A code of conduct is needed.”</w:t>
                      </w:r>
                    </w:p>
                    <w:p w14:paraId="16BEA859" w14:textId="77777777" w:rsidR="00323238" w:rsidRDefault="00323238" w:rsidP="00323238">
                      <w:pPr>
                        <w:jc w:val="center"/>
                      </w:pPr>
                      <w:r w:rsidRPr="00150C26">
                        <w:t>“Some regionwide guidelines are in place for nature parks but aren’t for things like recreational fishing.” </w:t>
                      </w:r>
                      <w:r w:rsidRPr="00F93C00">
                        <w:rPr>
                          <w:highlight w:val="yellow"/>
                        </w:rPr>
                        <w:t> </w:t>
                      </w:r>
                    </w:p>
                  </w:txbxContent>
                </v:textbox>
                <w10:anchorlock/>
              </v:shape>
            </w:pict>
          </mc:Fallback>
        </mc:AlternateContent>
      </w:r>
    </w:p>
    <w:p w14:paraId="1C034CCE" w14:textId="2E0D857E" w:rsidR="00072576" w:rsidRDefault="00072576" w:rsidP="18E55A4C">
      <w:pPr>
        <w:pStyle w:val="Heading2"/>
        <w:rPr>
          <w:rFonts w:eastAsia="Source Sans Pro Light" w:cs="Source Sans Pro Light"/>
          <w:i/>
          <w:iCs/>
          <w:color w:val="000000" w:themeColor="text1"/>
          <w:lang w:val="en-CA" w:eastAsia="en-CA"/>
        </w:rPr>
        <w:sectPr w:rsidR="00072576" w:rsidSect="00820ED4">
          <w:headerReference w:type="first" r:id="rId78"/>
          <w:footerReference w:type="first" r:id="rId79"/>
          <w:pgSz w:w="12240" w:h="15840"/>
          <w:pgMar w:top="1440" w:right="1080" w:bottom="1440" w:left="1080" w:header="720" w:footer="720" w:gutter="0"/>
          <w:cols w:space="720"/>
          <w:docGrid w:linePitch="360"/>
        </w:sectPr>
      </w:pPr>
    </w:p>
    <w:p w14:paraId="70C3F31D" w14:textId="730A51E9" w:rsidR="003E00AA" w:rsidRPr="002E45A9" w:rsidRDefault="54842F28" w:rsidP="37ED3034">
      <w:pPr>
        <w:pStyle w:val="Heading2"/>
        <w:rPr>
          <w:rFonts w:ascii="Aptos Display" w:eastAsia="Aptos Display" w:hAnsi="Aptos Display" w:cs="Aptos Display"/>
        </w:rPr>
      </w:pPr>
      <w:r w:rsidRPr="18E55A4C">
        <w:rPr>
          <w:rFonts w:ascii="Aptos Display" w:eastAsia="Aptos Display" w:hAnsi="Aptos Display" w:cs="Aptos Display"/>
        </w:rPr>
        <w:lastRenderedPageBreak/>
        <w:t>Opportunities for incremental improvement</w:t>
      </w:r>
    </w:p>
    <w:p w14:paraId="7996E614" w14:textId="14B71A7D" w:rsidR="003E00AA" w:rsidRPr="00543749" w:rsidRDefault="18E01A58" w:rsidP="18E55A4C">
      <w:pPr>
        <w:spacing w:after="0" w:line="240" w:lineRule="auto"/>
      </w:pPr>
      <w:r w:rsidRPr="18E55A4C">
        <w:rPr>
          <w:rFonts w:eastAsia="Source Sans Pro Light" w:cs="Source Sans Pro Light"/>
        </w:rPr>
        <w:t>The Los Angeles County Scorecard serves as a baseline tool to raise awareness of the region’s current sustainability efforts and key risks to its tourism sector. The most critical issue identified is the region’s limited preparedness and response capacity, particularly the low number of available emergency shelters — a major concern given that earthquakes remain the highest threat, with significant risk to tourism infrastructure. Drought and extreme heat also pose major challenges. With water availability scoring among the lowest across environmental indicators, ongoing shortages threaten to diminish the overall quality of the visitor experience throughout the region.</w:t>
      </w:r>
    </w:p>
    <w:p w14:paraId="6F1587CF" w14:textId="14801AF6" w:rsidR="003E00AA" w:rsidRPr="00543749" w:rsidRDefault="003E00AA" w:rsidP="18E55A4C">
      <w:pPr>
        <w:spacing w:after="0" w:line="240" w:lineRule="auto"/>
        <w:rPr>
          <w:rFonts w:eastAsiaTheme="minorEastAsia" w:cstheme="majorBidi"/>
        </w:rPr>
      </w:pPr>
    </w:p>
    <w:p w14:paraId="67250BDD" w14:textId="0FC570A6" w:rsidR="003E00AA" w:rsidRPr="00543749" w:rsidRDefault="05D19DBD" w:rsidP="18E55A4C">
      <w:pPr>
        <w:spacing w:after="0" w:line="240" w:lineRule="auto"/>
        <w:rPr>
          <w:rFonts w:eastAsia="Source Sans Pro Light" w:cs="Source Sans Pro Light"/>
          <w:color w:val="000000" w:themeColor="text1"/>
        </w:rPr>
      </w:pPr>
      <w:r w:rsidRPr="18E55A4C">
        <w:rPr>
          <w:rFonts w:eastAsiaTheme="minorEastAsia" w:cstheme="majorBidi"/>
        </w:rPr>
        <w:t xml:space="preserve">Addressing </w:t>
      </w:r>
      <w:r w:rsidR="173CD57B" w:rsidRPr="18E55A4C">
        <w:rPr>
          <w:rFonts w:eastAsiaTheme="minorEastAsia" w:cstheme="majorBidi"/>
        </w:rPr>
        <w:t>infrastructure</w:t>
      </w:r>
      <w:r w:rsidRPr="18E55A4C">
        <w:rPr>
          <w:rFonts w:eastAsiaTheme="minorEastAsia" w:cstheme="majorBidi"/>
        </w:rPr>
        <w:t xml:space="preserve"> issues primarily resides with local, state and federal </w:t>
      </w:r>
      <w:r w:rsidR="0D4C0DCA" w:rsidRPr="18E55A4C">
        <w:rPr>
          <w:rFonts w:eastAsiaTheme="minorEastAsia" w:cstheme="majorBidi"/>
        </w:rPr>
        <w:t>governments</w:t>
      </w:r>
      <w:r w:rsidRPr="18E55A4C">
        <w:rPr>
          <w:rFonts w:eastAsiaTheme="minorEastAsia" w:cstheme="majorBidi"/>
        </w:rPr>
        <w:t xml:space="preserve">. However, there are still several opportunities for travel and tourism entities in the </w:t>
      </w:r>
      <w:r w:rsidR="00323238" w:rsidRPr="18E55A4C">
        <w:rPr>
          <w:rFonts w:eastAsiaTheme="minorEastAsia" w:cstheme="majorBidi"/>
        </w:rPr>
        <w:t>Los Angeles County</w:t>
      </w:r>
      <w:r w:rsidRPr="18E55A4C">
        <w:rPr>
          <w:rFonts w:eastAsiaTheme="minorEastAsia" w:cstheme="majorBidi"/>
        </w:rPr>
        <w:t xml:space="preserve"> to pursue to improve the overall sustainability and resilience of the industry to climate-related and other natural disasters:</w:t>
      </w:r>
    </w:p>
    <w:p w14:paraId="60E5C8EF" w14:textId="288C4DC8" w:rsidR="003E00AA" w:rsidRPr="00543749" w:rsidRDefault="54842F28" w:rsidP="00A61B75">
      <w:pPr>
        <w:pStyle w:val="Heading3"/>
      </w:pPr>
      <w:r w:rsidRPr="00543749">
        <w:t xml:space="preserve">Be </w:t>
      </w:r>
      <w:r w:rsidRPr="00C90640">
        <w:t>prepared</w:t>
      </w:r>
      <w:r w:rsidRPr="00543749">
        <w:t>.</w:t>
      </w:r>
    </w:p>
    <w:p w14:paraId="3F75C3DA" w14:textId="13130615" w:rsidR="003E00AA" w:rsidRPr="00543749" w:rsidRDefault="54842F28" w:rsidP="37ED3034">
      <w:pPr>
        <w:pStyle w:val="ListParagraph"/>
        <w:numPr>
          <w:ilvl w:val="0"/>
          <w:numId w:val="8"/>
        </w:numPr>
        <w:spacing w:after="240" w:line="240" w:lineRule="auto"/>
      </w:pPr>
      <w:r w:rsidRPr="00543749">
        <w:rPr>
          <w:rFonts w:eastAsiaTheme="minorEastAsia" w:cstheme="majorBidi"/>
        </w:rPr>
        <w:t xml:space="preserve">Use the </w:t>
      </w:r>
      <w:hyperlink r:id="rId80">
        <w:r w:rsidRPr="00543749">
          <w:rPr>
            <w:rFonts w:eastAsiaTheme="minorEastAsia" w:cstheme="majorBidi"/>
          </w:rPr>
          <w:t>California Tourism Resilience &amp; Sustainability Dashboard</w:t>
        </w:r>
      </w:hyperlink>
      <w:r w:rsidRPr="00543749">
        <w:rPr>
          <w:rFonts w:eastAsiaTheme="minorEastAsia" w:cstheme="majorBidi"/>
        </w:rPr>
        <w:t xml:space="preserve"> to identify potential impacts to tourism from various hazards and disaster events.</w:t>
      </w:r>
    </w:p>
    <w:p w14:paraId="21A58EC8" w14:textId="52AEB474" w:rsidR="003E00AA" w:rsidRPr="00543749" w:rsidRDefault="54842F28" w:rsidP="37ED3034">
      <w:pPr>
        <w:pStyle w:val="ListParagraph"/>
        <w:numPr>
          <w:ilvl w:val="1"/>
          <w:numId w:val="8"/>
        </w:numPr>
        <w:spacing w:after="240" w:line="240" w:lineRule="auto"/>
      </w:pPr>
      <w:r w:rsidRPr="00543749">
        <w:rPr>
          <w:rFonts w:eastAsiaTheme="minorEastAsia" w:cstheme="majorBidi"/>
        </w:rPr>
        <w:t>Organize webinar training sessions to familiarize tourism stakeholders, local officials and the broader public with the dashboard and how to interpret the data.</w:t>
      </w:r>
    </w:p>
    <w:p w14:paraId="3D31FF7C" w14:textId="5A1DF4BD" w:rsidR="003E00AA" w:rsidRPr="00543749" w:rsidRDefault="54842F28" w:rsidP="37ED3034">
      <w:pPr>
        <w:pStyle w:val="ListParagraph"/>
        <w:numPr>
          <w:ilvl w:val="1"/>
          <w:numId w:val="8"/>
        </w:numPr>
        <w:spacing w:after="240" w:line="240" w:lineRule="auto"/>
      </w:pPr>
      <w:r w:rsidRPr="18E55A4C">
        <w:rPr>
          <w:rFonts w:eastAsiaTheme="minorEastAsia" w:cstheme="majorBidi"/>
        </w:rPr>
        <w:t>Determine which communities are most vulnerable to and face the greatest risks from tourism losses from natural disaster and other events.</w:t>
      </w:r>
    </w:p>
    <w:p w14:paraId="4A9E6A02" w14:textId="063A8773" w:rsidR="003E00AA" w:rsidRPr="00543749" w:rsidRDefault="54842F28" w:rsidP="37ED3034">
      <w:pPr>
        <w:pStyle w:val="ListParagraph"/>
        <w:numPr>
          <w:ilvl w:val="0"/>
          <w:numId w:val="8"/>
        </w:numPr>
        <w:spacing w:after="240" w:line="240" w:lineRule="auto"/>
      </w:pPr>
      <w:r w:rsidRPr="18E55A4C">
        <w:rPr>
          <w:rFonts w:eastAsiaTheme="minorEastAsia" w:cstheme="majorBidi"/>
        </w:rPr>
        <w:t>Develop scenario-based exercises focusing on the region’s high-priority risks — drought, heatwaves and earthquakes — tailored for small and medium tourism businesses and DMOs, with an emphasis on supporting the most vulnerable communities.</w:t>
      </w:r>
    </w:p>
    <w:p w14:paraId="60704179" w14:textId="753F3F4D" w:rsidR="003E00AA" w:rsidRPr="004A637C" w:rsidRDefault="54842F28" w:rsidP="18E55A4C">
      <w:pPr>
        <w:pStyle w:val="ListParagraph"/>
        <w:numPr>
          <w:ilvl w:val="1"/>
          <w:numId w:val="8"/>
        </w:numPr>
        <w:spacing w:after="240" w:line="240" w:lineRule="auto"/>
        <w:rPr>
          <w:rFonts w:eastAsiaTheme="minorEastAsia" w:cstheme="majorBidi"/>
        </w:rPr>
      </w:pPr>
      <w:r w:rsidRPr="18E55A4C">
        <w:rPr>
          <w:rFonts w:eastAsiaTheme="minorEastAsia" w:cstheme="majorBidi"/>
        </w:rPr>
        <w:t>Adopt emergency response strategies to prepare for higher risk crisis situations</w:t>
      </w:r>
      <w:r w:rsidR="7C119793" w:rsidRPr="18E55A4C">
        <w:rPr>
          <w:rFonts w:eastAsiaTheme="minorEastAsia" w:cstheme="majorBidi"/>
        </w:rPr>
        <w:t>.</w:t>
      </w:r>
    </w:p>
    <w:p w14:paraId="58B646D4" w14:textId="24CF8F7E" w:rsidR="003E00AA" w:rsidRPr="004A637C" w:rsidRDefault="54842F28" w:rsidP="37ED3034">
      <w:pPr>
        <w:pStyle w:val="ListParagraph"/>
        <w:numPr>
          <w:ilvl w:val="1"/>
          <w:numId w:val="8"/>
        </w:numPr>
        <w:spacing w:after="240" w:line="240" w:lineRule="auto"/>
      </w:pPr>
      <w:r w:rsidRPr="004A637C">
        <w:rPr>
          <w:rFonts w:eastAsiaTheme="minorEastAsia" w:cstheme="majorBidi"/>
        </w:rPr>
        <w:t>Provide guidance on effective post-crisis recovery strategies.</w:t>
      </w:r>
    </w:p>
    <w:p w14:paraId="2E8E0F24" w14:textId="6A3C175B" w:rsidR="003E00AA" w:rsidRPr="004A637C" w:rsidRDefault="54842F28" w:rsidP="37ED3034">
      <w:pPr>
        <w:pStyle w:val="ListParagraph"/>
        <w:numPr>
          <w:ilvl w:val="0"/>
          <w:numId w:val="8"/>
        </w:numPr>
        <w:spacing w:after="240" w:line="240" w:lineRule="auto"/>
      </w:pPr>
      <w:r w:rsidRPr="53375988">
        <w:rPr>
          <w:rFonts w:eastAsiaTheme="minorEastAsia" w:cstheme="majorBidi"/>
        </w:rPr>
        <w:t xml:space="preserve">Prepare a regional risk-based action plan focused on protecting tourism assets, including tourism products prioritized for development in the </w:t>
      </w:r>
      <w:r w:rsidR="50A82252" w:rsidRPr="53375988">
        <w:rPr>
          <w:rFonts w:eastAsiaTheme="minorEastAsia" w:cstheme="majorBidi"/>
        </w:rPr>
        <w:t>Los Angeles</w:t>
      </w:r>
      <w:r w:rsidRPr="53375988">
        <w:rPr>
          <w:rFonts w:eastAsiaTheme="minorEastAsia" w:cstheme="majorBidi"/>
        </w:rPr>
        <w:t xml:space="preserve"> Regional Strategic Tourism Plan, from the top risks identified under CSF 1:</w:t>
      </w:r>
    </w:p>
    <w:p w14:paraId="557DE080" w14:textId="6D03AAA5" w:rsidR="003E00AA" w:rsidRPr="004A637C" w:rsidRDefault="54842F28" w:rsidP="37ED3034">
      <w:pPr>
        <w:pStyle w:val="ListParagraph"/>
        <w:numPr>
          <w:ilvl w:val="1"/>
          <w:numId w:val="8"/>
        </w:numPr>
        <w:spacing w:after="240" w:line="240" w:lineRule="auto"/>
      </w:pPr>
      <w:r w:rsidRPr="004A637C">
        <w:rPr>
          <w:rFonts w:eastAsiaTheme="minorEastAsia" w:cstheme="majorBidi"/>
        </w:rPr>
        <w:t>Provide a detailed risk profile of key tourism assets.</w:t>
      </w:r>
    </w:p>
    <w:p w14:paraId="59728579" w14:textId="775EC54A" w:rsidR="003E00AA" w:rsidRPr="004A637C" w:rsidRDefault="54842F28" w:rsidP="37ED3034">
      <w:pPr>
        <w:pStyle w:val="ListParagraph"/>
        <w:numPr>
          <w:ilvl w:val="1"/>
          <w:numId w:val="8"/>
        </w:numPr>
        <w:spacing w:after="240" w:line="240" w:lineRule="auto"/>
      </w:pPr>
      <w:r w:rsidRPr="18E55A4C">
        <w:rPr>
          <w:rFonts w:eastAsiaTheme="minorEastAsia" w:cstheme="majorBidi"/>
        </w:rPr>
        <w:t>Identify steps for mitigating impacts identified in the risk profile.</w:t>
      </w:r>
    </w:p>
    <w:p w14:paraId="7FCD5B0E" w14:textId="4AF747D9" w:rsidR="003E00AA" w:rsidRPr="004A637C" w:rsidRDefault="54842F28" w:rsidP="37ED3034">
      <w:pPr>
        <w:pStyle w:val="ListParagraph"/>
        <w:numPr>
          <w:ilvl w:val="1"/>
          <w:numId w:val="8"/>
        </w:numPr>
        <w:spacing w:after="240" w:line="240" w:lineRule="auto"/>
      </w:pPr>
      <w:r w:rsidRPr="004A637C">
        <w:rPr>
          <w:rFonts w:eastAsiaTheme="minorEastAsia" w:cstheme="majorBidi"/>
        </w:rPr>
        <w:t xml:space="preserve">Incorporate mitigation/resilience improvements into operation budgets. </w:t>
      </w:r>
    </w:p>
    <w:p w14:paraId="7A2AAC60" w14:textId="039B4606" w:rsidR="003E00AA" w:rsidRPr="004A637C" w:rsidRDefault="54842F28" w:rsidP="37ED3034">
      <w:pPr>
        <w:pStyle w:val="ListParagraph"/>
        <w:numPr>
          <w:ilvl w:val="0"/>
          <w:numId w:val="8"/>
        </w:numPr>
        <w:spacing w:after="240" w:line="240" w:lineRule="auto"/>
      </w:pPr>
      <w:r w:rsidRPr="004A637C">
        <w:rPr>
          <w:rFonts w:eastAsiaTheme="minorEastAsia" w:cstheme="majorBidi"/>
        </w:rPr>
        <w:t>Establish communication channels between tourism stakeholders, emergency services, regional news media and visitors to support timely and accurate information dissemination during crises:</w:t>
      </w:r>
    </w:p>
    <w:p w14:paraId="5F91FF1E" w14:textId="1767963D" w:rsidR="003E00AA" w:rsidRPr="004A637C" w:rsidRDefault="54842F28" w:rsidP="37ED3034">
      <w:pPr>
        <w:pStyle w:val="ListParagraph"/>
        <w:numPr>
          <w:ilvl w:val="1"/>
          <w:numId w:val="8"/>
        </w:numPr>
        <w:spacing w:after="240" w:line="240" w:lineRule="auto"/>
      </w:pPr>
      <w:r w:rsidRPr="004A637C">
        <w:rPr>
          <w:rFonts w:eastAsiaTheme="minorEastAsia" w:cstheme="majorBidi"/>
        </w:rPr>
        <w:t>Prepare a list of mobile apps, websites and local radio stations providing real-time updates on weather conditions and disaster alerts.</w:t>
      </w:r>
    </w:p>
    <w:p w14:paraId="42BF333E" w14:textId="5990CCF7" w:rsidR="003E00AA" w:rsidRPr="004A637C" w:rsidRDefault="54842F28" w:rsidP="37ED3034">
      <w:pPr>
        <w:pStyle w:val="ListParagraph"/>
        <w:numPr>
          <w:ilvl w:val="1"/>
          <w:numId w:val="8"/>
        </w:numPr>
        <w:spacing w:after="240" w:line="240" w:lineRule="auto"/>
      </w:pPr>
      <w:r w:rsidRPr="004A637C">
        <w:rPr>
          <w:rFonts w:eastAsiaTheme="minorEastAsia" w:cstheme="majorBidi"/>
        </w:rPr>
        <w:t>Develop tools, such as regular email updates, a dedicated hotline or social media updates for instant alerts, to communicate risk information to tourism businesses.</w:t>
      </w:r>
    </w:p>
    <w:p w14:paraId="61AA4B08" w14:textId="7DE73953" w:rsidR="003E00AA" w:rsidRPr="004A637C" w:rsidRDefault="54842F28" w:rsidP="37ED3034">
      <w:pPr>
        <w:pStyle w:val="ListParagraph"/>
        <w:numPr>
          <w:ilvl w:val="1"/>
          <w:numId w:val="8"/>
        </w:numPr>
        <w:spacing w:after="240" w:line="240" w:lineRule="auto"/>
      </w:pPr>
      <w:r w:rsidRPr="004A637C">
        <w:rPr>
          <w:rFonts w:eastAsiaTheme="minorEastAsia" w:cstheme="majorBidi"/>
        </w:rPr>
        <w:t>Pursue partnerships with local government to establish temporary agreements for converting facilities into emergency shelters during crises.</w:t>
      </w:r>
    </w:p>
    <w:p w14:paraId="7296A59B" w14:textId="45D3B27E" w:rsidR="003E00AA" w:rsidRPr="004A637C" w:rsidRDefault="54842F28" w:rsidP="00A61B75">
      <w:pPr>
        <w:pStyle w:val="Heading3"/>
      </w:pPr>
      <w:r w:rsidRPr="004A637C">
        <w:t xml:space="preserve">Act </w:t>
      </w:r>
      <w:r w:rsidRPr="00C90640">
        <w:t>sustainably</w:t>
      </w:r>
      <w:r w:rsidRPr="004A637C">
        <w:t>.</w:t>
      </w:r>
    </w:p>
    <w:p w14:paraId="02975562" w14:textId="355C1148" w:rsidR="003E00AA" w:rsidRPr="004A637C" w:rsidRDefault="54842F28" w:rsidP="37ED3034">
      <w:pPr>
        <w:pStyle w:val="ListParagraph"/>
        <w:numPr>
          <w:ilvl w:val="0"/>
          <w:numId w:val="8"/>
        </w:numPr>
        <w:spacing w:after="240" w:line="240" w:lineRule="auto"/>
      </w:pPr>
      <w:r w:rsidRPr="004A637C">
        <w:rPr>
          <w:rFonts w:eastAsiaTheme="minorEastAsia" w:cstheme="majorBidi"/>
        </w:rPr>
        <w:t>Pursue sustainability certification through recognized frameworks, such as the Global Sustainable Tourism Council Criteria for hotel and tour operators, destinations, venues, event organizers, events &amp; exhibitions and attractions.</w:t>
      </w:r>
    </w:p>
    <w:p w14:paraId="1C8161CE" w14:textId="6DC65F66" w:rsidR="003E00AA" w:rsidRPr="004A637C" w:rsidRDefault="54842F28" w:rsidP="37ED3034">
      <w:pPr>
        <w:pStyle w:val="ListParagraph"/>
        <w:numPr>
          <w:ilvl w:val="0"/>
          <w:numId w:val="8"/>
        </w:numPr>
        <w:spacing w:after="240" w:line="240" w:lineRule="auto"/>
      </w:pPr>
      <w:r w:rsidRPr="004A637C">
        <w:rPr>
          <w:rFonts w:eastAsiaTheme="minorEastAsia" w:cstheme="majorBidi"/>
        </w:rPr>
        <w:t xml:space="preserve">Incorporate sustainability initiatives into regular operations. </w:t>
      </w:r>
    </w:p>
    <w:p w14:paraId="1B60B7E3" w14:textId="734073C2" w:rsidR="00FE42D1" w:rsidRPr="00294664" w:rsidRDefault="1EFCEDF6" w:rsidP="177858A2">
      <w:pPr>
        <w:pStyle w:val="ListParagraph"/>
        <w:numPr>
          <w:ilvl w:val="1"/>
          <w:numId w:val="8"/>
        </w:numPr>
        <w:spacing w:after="240" w:line="240" w:lineRule="auto"/>
        <w:rPr>
          <w:rFonts w:eastAsiaTheme="minorEastAsia" w:cstheme="majorBidi"/>
        </w:rPr>
      </w:pPr>
      <w:r w:rsidRPr="177858A2">
        <w:rPr>
          <w:rFonts w:eastAsiaTheme="minorEastAsia" w:cstheme="majorBidi"/>
        </w:rPr>
        <w:lastRenderedPageBreak/>
        <w:t>Install water-conserving and/or energy-efficient measures that exceed building code requirements when replacing existing building components.</w:t>
      </w:r>
    </w:p>
    <w:p w14:paraId="378C6D14" w14:textId="0B7E1D8E" w:rsidR="003E00AA" w:rsidRPr="004A637C" w:rsidRDefault="05D19DBD" w:rsidP="177858A2">
      <w:pPr>
        <w:pStyle w:val="ListParagraph"/>
        <w:numPr>
          <w:ilvl w:val="1"/>
          <w:numId w:val="8"/>
        </w:numPr>
        <w:spacing w:after="240" w:line="240" w:lineRule="auto"/>
        <w:rPr>
          <w:rFonts w:eastAsiaTheme="minorEastAsia" w:cstheme="majorBidi"/>
        </w:rPr>
      </w:pPr>
      <w:r w:rsidRPr="177858A2">
        <w:rPr>
          <w:rFonts w:eastAsiaTheme="minorEastAsia" w:cstheme="majorBidi"/>
        </w:rPr>
        <w:t>Pursue electric utility and local, state and federal government incentives for clean energy improvements and electric vehicle charging infrastructure (see Statewide Opportunities for more information).</w:t>
      </w:r>
    </w:p>
    <w:p w14:paraId="53A54BA6" w14:textId="2AB0BBB0" w:rsidR="003E00AA" w:rsidRPr="004A637C" w:rsidRDefault="54842F28" w:rsidP="37ED3034">
      <w:pPr>
        <w:pStyle w:val="ListParagraph"/>
        <w:numPr>
          <w:ilvl w:val="1"/>
          <w:numId w:val="8"/>
        </w:numPr>
        <w:spacing w:after="240" w:line="240" w:lineRule="auto"/>
      </w:pPr>
      <w:r w:rsidRPr="004A637C">
        <w:rPr>
          <w:rFonts w:eastAsiaTheme="minorEastAsia" w:cstheme="majorBidi"/>
        </w:rPr>
        <w:t>Partner with local businesses to create a closed-loop system for resources, such as turning food waste into compost for local farms that supply restaurants.</w:t>
      </w:r>
    </w:p>
    <w:p w14:paraId="70B959C9" w14:textId="2B51B190" w:rsidR="003E00AA" w:rsidRPr="004A637C" w:rsidRDefault="05D19DBD" w:rsidP="177858A2">
      <w:pPr>
        <w:pStyle w:val="ListParagraph"/>
        <w:numPr>
          <w:ilvl w:val="1"/>
          <w:numId w:val="8"/>
        </w:numPr>
        <w:spacing w:after="240" w:line="240" w:lineRule="auto"/>
        <w:rPr>
          <w:rFonts w:eastAsiaTheme="minorEastAsia" w:cstheme="majorBidi"/>
        </w:rPr>
      </w:pPr>
      <w:r w:rsidRPr="177858A2">
        <w:rPr>
          <w:rFonts w:eastAsiaTheme="minorEastAsia" w:cstheme="majorBidi"/>
        </w:rPr>
        <w:t>Collect relevant data, including guest satisfaction ratings, initial investment costs, ongoing maintenance expense, energy and water savings and waste reduction to determine the long-term financial benefits of sustainable practices.</w:t>
      </w:r>
    </w:p>
    <w:p w14:paraId="477FA8D6" w14:textId="3B3681A5" w:rsidR="003E00AA" w:rsidRPr="004A637C" w:rsidRDefault="54842F28" w:rsidP="00A61B75">
      <w:pPr>
        <w:pStyle w:val="Heading3"/>
      </w:pPr>
      <w:r w:rsidRPr="004A637C">
        <w:t xml:space="preserve">Manage responsible </w:t>
      </w:r>
      <w:r w:rsidRPr="00C90640">
        <w:rPr>
          <w:color w:val="0F4761"/>
        </w:rPr>
        <w:t>visitation</w:t>
      </w:r>
      <w:r w:rsidRPr="004A637C">
        <w:t>.</w:t>
      </w:r>
    </w:p>
    <w:p w14:paraId="347E4416" w14:textId="17599273" w:rsidR="003E00AA" w:rsidRPr="004A637C" w:rsidRDefault="05D19DBD" w:rsidP="37ED3034">
      <w:pPr>
        <w:pStyle w:val="ListParagraph"/>
        <w:numPr>
          <w:ilvl w:val="0"/>
          <w:numId w:val="7"/>
        </w:numPr>
        <w:spacing w:after="240" w:line="240" w:lineRule="auto"/>
      </w:pPr>
      <w:r w:rsidRPr="177858A2">
        <w:rPr>
          <w:rFonts w:eastAsiaTheme="minorEastAsia" w:cstheme="majorBidi"/>
        </w:rPr>
        <w:t xml:space="preserve">Develop a strategy to manage visitation in popular areas to avoid exceeding capacity during peak periods: </w:t>
      </w:r>
    </w:p>
    <w:p w14:paraId="287A6353" w14:textId="0E6A169B" w:rsidR="003E00AA" w:rsidRPr="004A637C" w:rsidRDefault="54842F28" w:rsidP="37ED3034">
      <w:pPr>
        <w:pStyle w:val="ListParagraph"/>
        <w:numPr>
          <w:ilvl w:val="1"/>
          <w:numId w:val="7"/>
        </w:numPr>
        <w:spacing w:after="240" w:line="240" w:lineRule="auto"/>
      </w:pPr>
      <w:r w:rsidRPr="004A637C">
        <w:rPr>
          <w:rFonts w:eastAsiaTheme="minorEastAsia" w:cstheme="majorBidi"/>
        </w:rPr>
        <w:t>Gather seasonal visitation data and monitor fluctuations to identify and address shifting demand patterns (monthly and daily) in a timely manner.</w:t>
      </w:r>
    </w:p>
    <w:p w14:paraId="6AFEF86C" w14:textId="39041A18" w:rsidR="003E00AA" w:rsidRPr="004A637C" w:rsidRDefault="54842F28" w:rsidP="37ED3034">
      <w:pPr>
        <w:pStyle w:val="ListParagraph"/>
        <w:numPr>
          <w:ilvl w:val="1"/>
          <w:numId w:val="7"/>
        </w:numPr>
        <w:spacing w:after="240" w:line="240" w:lineRule="auto"/>
      </w:pPr>
      <w:r w:rsidRPr="004A637C">
        <w:rPr>
          <w:rFonts w:eastAsiaTheme="minorEastAsia" w:cstheme="majorBidi"/>
        </w:rPr>
        <w:t>Partner with public agency stakeholders to collect visitor data at high-trafficked public sites to inform visitor management strategies.</w:t>
      </w:r>
    </w:p>
    <w:p w14:paraId="2098A530" w14:textId="00F73172" w:rsidR="003E00AA" w:rsidRPr="004A637C" w:rsidRDefault="54842F28" w:rsidP="37ED3034">
      <w:pPr>
        <w:pStyle w:val="ListParagraph"/>
        <w:numPr>
          <w:ilvl w:val="1"/>
          <w:numId w:val="7"/>
        </w:numPr>
        <w:spacing w:after="240" w:line="240" w:lineRule="auto"/>
      </w:pPr>
      <w:r w:rsidRPr="004A637C">
        <w:rPr>
          <w:rFonts w:eastAsiaTheme="minorEastAsia" w:cstheme="majorBidi"/>
        </w:rPr>
        <w:t xml:space="preserve">Identify sites experiencing environmental degradation from visitation exceeding capacity, assign a level of urgency and develop a strategy for mitigation that includes resources and monitoring performance against KPIs. </w:t>
      </w:r>
    </w:p>
    <w:p w14:paraId="4BBCDF75" w14:textId="6DC30D2E" w:rsidR="003E00AA" w:rsidRPr="004A637C" w:rsidRDefault="54842F28" w:rsidP="37ED3034">
      <w:pPr>
        <w:pStyle w:val="ListParagraph"/>
        <w:numPr>
          <w:ilvl w:val="0"/>
          <w:numId w:val="6"/>
        </w:numPr>
        <w:spacing w:after="240" w:line="240" w:lineRule="auto"/>
      </w:pPr>
      <w:r w:rsidRPr="004A637C">
        <w:rPr>
          <w:rFonts w:eastAsiaTheme="minorEastAsia" w:cstheme="majorBidi"/>
        </w:rPr>
        <w:t xml:space="preserve">Create guidelines for visitor behavior at natural sites, communicate guidelines at all stages in the visitor journey and create a system to monitor the impact of visitor impact on natural sites. </w:t>
      </w:r>
    </w:p>
    <w:p w14:paraId="5190E255" w14:textId="64624596" w:rsidR="003E00AA" w:rsidRPr="004A637C" w:rsidRDefault="54842F28" w:rsidP="37ED3034">
      <w:pPr>
        <w:pStyle w:val="ListParagraph"/>
        <w:numPr>
          <w:ilvl w:val="0"/>
          <w:numId w:val="6"/>
        </w:numPr>
        <w:spacing w:after="240" w:line="240" w:lineRule="auto"/>
      </w:pPr>
      <w:r w:rsidRPr="004A637C">
        <w:rPr>
          <w:rFonts w:eastAsiaTheme="minorEastAsia" w:cstheme="majorBidi"/>
        </w:rPr>
        <w:t>Implement campaigns on a regionwide basis, like Leave No Trace and Cleaner California Coast, to educate visitors on the importance of sustainability and how their choices can make a difference.</w:t>
      </w:r>
    </w:p>
    <w:p w14:paraId="422163FA" w14:textId="30656C87" w:rsidR="003E00AA" w:rsidRPr="004A637C" w:rsidRDefault="54842F28" w:rsidP="37ED3034">
      <w:pPr>
        <w:pStyle w:val="ListParagraph"/>
        <w:numPr>
          <w:ilvl w:val="1"/>
          <w:numId w:val="5"/>
        </w:numPr>
        <w:spacing w:after="240" w:line="240" w:lineRule="auto"/>
      </w:pPr>
      <w:r w:rsidRPr="004A637C">
        <w:rPr>
          <w:rFonts w:eastAsiaTheme="minorEastAsia" w:cstheme="majorBidi"/>
        </w:rPr>
        <w:t xml:space="preserve">Leverage Visit California’s Responsible Travel Code resources to encourage positive visitor behavior. </w:t>
      </w:r>
    </w:p>
    <w:p w14:paraId="51BD095B" w14:textId="64C0A9ED" w:rsidR="003E00AA" w:rsidRPr="004A637C" w:rsidRDefault="05D19DBD" w:rsidP="37ED3034">
      <w:pPr>
        <w:pStyle w:val="ListParagraph"/>
        <w:numPr>
          <w:ilvl w:val="1"/>
          <w:numId w:val="5"/>
        </w:numPr>
        <w:spacing w:after="240" w:line="240" w:lineRule="auto"/>
        <w:sectPr w:rsidR="003E00AA" w:rsidRPr="004A637C" w:rsidSect="003A1AF2">
          <w:pgSz w:w="12240" w:h="15840"/>
          <w:pgMar w:top="1440" w:right="1080" w:bottom="1440" w:left="1080" w:header="720" w:footer="720" w:gutter="0"/>
          <w:cols w:space="720"/>
          <w:docGrid w:linePitch="360"/>
        </w:sectPr>
      </w:pPr>
      <w:r w:rsidRPr="18E55A4C">
        <w:rPr>
          <w:rFonts w:eastAsiaTheme="minorEastAsia" w:cstheme="majorBidi"/>
        </w:rPr>
        <w:t xml:space="preserve">Emphasize pre-trip engagement, such as the USFS’s </w:t>
      </w:r>
      <w:hyperlink r:id="rId81">
        <w:r w:rsidRPr="18E55A4C">
          <w:rPr>
            <w:rFonts w:eastAsiaTheme="minorEastAsia" w:cstheme="majorBidi"/>
          </w:rPr>
          <w:t>Know Before You Go</w:t>
        </w:r>
      </w:hyperlink>
      <w:r w:rsidRPr="18E55A4C">
        <w:rPr>
          <w:rFonts w:eastAsiaTheme="minorEastAsia" w:cstheme="majorBidi"/>
        </w:rPr>
        <w:t>, to encourage visitors to plan effectively prior to arrival at a destination.</w:t>
      </w:r>
    </w:p>
    <w:p w14:paraId="35B79F77" w14:textId="2872965A" w:rsidR="00DF7C1D" w:rsidRPr="002E45A9" w:rsidRDefault="00B618DA" w:rsidP="00063207">
      <w:pPr>
        <w:pStyle w:val="Heading2"/>
      </w:pPr>
      <w:r>
        <w:lastRenderedPageBreak/>
        <w:t>Conclusion</w:t>
      </w:r>
    </w:p>
    <w:p w14:paraId="7DE07D24" w14:textId="7B085038" w:rsidR="00DF7C1D" w:rsidRPr="002E45A9" w:rsidRDefault="60F00F98" w:rsidP="00C90640">
      <w:pPr>
        <w:jc w:val="center"/>
      </w:pPr>
      <w:r>
        <w:rPr>
          <w:noProof/>
        </w:rPr>
        <w:drawing>
          <wp:inline distT="0" distB="0" distL="0" distR="0" wp14:anchorId="1DA452B0" wp14:editId="28115EEF">
            <wp:extent cx="6259254" cy="5029200"/>
            <wp:effectExtent l="0" t="0" r="1905" b="0"/>
            <wp:docPr id="882094253" name="Picture 88209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59254" cy="5029200"/>
                    </a:xfrm>
                    <a:prstGeom prst="rect">
                      <a:avLst/>
                    </a:prstGeom>
                  </pic:spPr>
                </pic:pic>
              </a:graphicData>
            </a:graphic>
          </wp:inline>
        </w:drawing>
      </w:r>
    </w:p>
    <w:p w14:paraId="11CFB2EE" w14:textId="62586614" w:rsidR="00DF7C1D" w:rsidRPr="002E45A9" w:rsidRDefault="00DF7C1D" w:rsidP="00DF7C1D">
      <w:r w:rsidRPr="002E45A9">
        <w:t xml:space="preserve">This scorecard highlights unique challenges facing the </w:t>
      </w:r>
      <w:r w:rsidR="003A1AF2">
        <w:t>Los Angeles County</w:t>
      </w:r>
      <w:r w:rsidRPr="002E45A9">
        <w:t xml:space="preserve"> regarding climate change and </w:t>
      </w:r>
      <w:r w:rsidR="00255358">
        <w:t>disaster preparedness</w:t>
      </w:r>
      <w:r w:rsidRPr="002E45A9">
        <w:t xml:space="preserve">. </w:t>
      </w:r>
      <w:r>
        <w:t>These</w:t>
      </w:r>
      <w:r w:rsidRPr="002E45A9" w:rsidDel="00FE17CA">
        <w:t xml:space="preserve"> </w:t>
      </w:r>
      <w:r w:rsidRPr="002E45A9">
        <w:t>pressures underscore the urgency of advancing robust sustainability approaches. Without sufficient progress, the region faces distinct challenges that could impact its tourism industry and overall resilience.</w:t>
      </w:r>
    </w:p>
    <w:p w14:paraId="47BFB044" w14:textId="77522889" w:rsidR="00B22ACD" w:rsidRDefault="00C76E6F" w:rsidP="0078139D">
      <w:r w:rsidRPr="002E45A9">
        <w:t>There is energy, enthusiasm</w:t>
      </w:r>
      <w:r>
        <w:t xml:space="preserve"> and</w:t>
      </w:r>
      <w:r w:rsidRPr="002E45A9">
        <w:t xml:space="preserve"> commitment from regional stakeholders to address </w:t>
      </w:r>
      <w:r>
        <w:t>resilience and sustainability</w:t>
      </w:r>
      <w:r w:rsidRPr="002E45A9">
        <w:t xml:space="preserve"> issues, which are important not only for the region but for the entire state of California.</w:t>
      </w:r>
      <w:r>
        <w:t xml:space="preserve"> </w:t>
      </w:r>
      <w:r w:rsidR="00DF7C1D" w:rsidRPr="002E45A9">
        <w:t xml:space="preserve">The strong local support and recognition of sustainability's importance provide a foundation for addressing these issues. </w:t>
      </w:r>
      <w:r w:rsidR="00F47195">
        <w:t>S</w:t>
      </w:r>
      <w:r w:rsidR="00DF7C1D">
        <w:t>ignificant</w:t>
      </w:r>
      <w:r w:rsidR="00DF7C1D" w:rsidRPr="002E45A9">
        <w:t xml:space="preserve"> work lies ahead to improve the region's performance and prepare for future environmental challenges, particularly in managing drought conditions and adapting to climate change impacts</w:t>
      </w:r>
      <w:r w:rsidR="001C35C8">
        <w:t>.</w:t>
      </w:r>
    </w:p>
    <w:p w14:paraId="72DF5E84" w14:textId="77777777" w:rsidR="00B22ACD" w:rsidRDefault="00B22ACD">
      <w:pPr>
        <w:spacing w:line="278" w:lineRule="auto"/>
      </w:pPr>
      <w:r>
        <w:br w:type="page"/>
      </w:r>
    </w:p>
    <w:p w14:paraId="69DCD0D4" w14:textId="0AF82DDF" w:rsidR="006448F4" w:rsidRDefault="006266CE" w:rsidP="006266CE">
      <w:pPr>
        <w:pStyle w:val="Heading1"/>
      </w:pPr>
      <w:r>
        <w:lastRenderedPageBreak/>
        <w:t>Appendi</w:t>
      </w:r>
      <w:r w:rsidR="00D410C9">
        <w:t>x</w:t>
      </w:r>
    </w:p>
    <w:p w14:paraId="267B8AF9" w14:textId="5C12543E" w:rsidR="008569FB" w:rsidRDefault="008569FB" w:rsidP="008569FB">
      <w:pPr>
        <w:pStyle w:val="Heading2"/>
      </w:pPr>
      <w:r>
        <w:t>Appendix 1</w:t>
      </w:r>
      <w:r w:rsidR="00C80756">
        <w:t>- Reviewed destination plans</w:t>
      </w:r>
    </w:p>
    <w:tbl>
      <w:tblPr>
        <w:tblStyle w:val="TableGrid"/>
        <w:tblW w:w="9918" w:type="dxa"/>
        <w:tblLook w:val="04A0" w:firstRow="1" w:lastRow="0" w:firstColumn="1" w:lastColumn="0" w:noHBand="0" w:noVBand="1"/>
      </w:tblPr>
      <w:tblGrid>
        <w:gridCol w:w="2263"/>
        <w:gridCol w:w="7655"/>
      </w:tblGrid>
      <w:tr w:rsidR="00B65FE5" w:rsidRPr="0050622D" w14:paraId="6384031C" w14:textId="77777777" w:rsidTr="18E55A4C">
        <w:trPr>
          <w:trHeight w:val="255"/>
        </w:trPr>
        <w:tc>
          <w:tcPr>
            <w:tcW w:w="2263" w:type="dxa"/>
            <w:noWrap/>
          </w:tcPr>
          <w:p w14:paraId="082F24C8" w14:textId="77777777" w:rsidR="00B65FE5" w:rsidRPr="0050622D" w:rsidRDefault="00B65FE5" w:rsidP="00353979">
            <w:pPr>
              <w:jc w:val="center"/>
              <w:rPr>
                <w:b/>
                <w:bCs/>
              </w:rPr>
            </w:pPr>
            <w:r w:rsidRPr="0050622D">
              <w:rPr>
                <w:b/>
                <w:bCs/>
              </w:rPr>
              <w:t>Destination</w:t>
            </w:r>
          </w:p>
        </w:tc>
        <w:tc>
          <w:tcPr>
            <w:tcW w:w="7655" w:type="dxa"/>
            <w:noWrap/>
          </w:tcPr>
          <w:p w14:paraId="13A2B199" w14:textId="77777777" w:rsidR="00B65FE5" w:rsidRPr="0050622D" w:rsidRDefault="00B65FE5" w:rsidP="00353979">
            <w:pPr>
              <w:jc w:val="center"/>
              <w:rPr>
                <w:b/>
                <w:bCs/>
              </w:rPr>
            </w:pPr>
            <w:r w:rsidRPr="0050622D">
              <w:rPr>
                <w:b/>
                <w:bCs/>
              </w:rPr>
              <w:t>Plan name</w:t>
            </w:r>
          </w:p>
        </w:tc>
      </w:tr>
      <w:tr w:rsidR="00B65FE5" w:rsidRPr="0050622D" w14:paraId="62DDA2DE" w14:textId="77777777" w:rsidTr="18E55A4C">
        <w:trPr>
          <w:trHeight w:val="288"/>
        </w:trPr>
        <w:tc>
          <w:tcPr>
            <w:tcW w:w="2263" w:type="dxa"/>
            <w:noWrap/>
            <w:hideMark/>
          </w:tcPr>
          <w:p w14:paraId="5A7842C7"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Alhambra</w:t>
            </w:r>
          </w:p>
        </w:tc>
        <w:tc>
          <w:tcPr>
            <w:tcW w:w="7655" w:type="dxa"/>
          </w:tcPr>
          <w:p w14:paraId="52A6C4E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Alambra General Plan Vision 2040 </w:t>
            </w:r>
          </w:p>
        </w:tc>
      </w:tr>
      <w:tr w:rsidR="00B65FE5" w:rsidRPr="0050622D" w14:paraId="50B36330" w14:textId="77777777" w:rsidTr="18E55A4C">
        <w:trPr>
          <w:trHeight w:val="288"/>
        </w:trPr>
        <w:tc>
          <w:tcPr>
            <w:tcW w:w="2263" w:type="dxa"/>
            <w:noWrap/>
            <w:hideMark/>
          </w:tcPr>
          <w:p w14:paraId="6BBE18A1"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Arcadia</w:t>
            </w:r>
          </w:p>
        </w:tc>
        <w:tc>
          <w:tcPr>
            <w:tcW w:w="7655" w:type="dxa"/>
          </w:tcPr>
          <w:p w14:paraId="76C3CD99"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Arcadia General Plan </w:t>
            </w:r>
          </w:p>
        </w:tc>
      </w:tr>
      <w:tr w:rsidR="00B65FE5" w:rsidRPr="0050622D" w14:paraId="059DA5B0" w14:textId="77777777" w:rsidTr="18E55A4C">
        <w:trPr>
          <w:trHeight w:val="288"/>
        </w:trPr>
        <w:tc>
          <w:tcPr>
            <w:tcW w:w="2263" w:type="dxa"/>
            <w:noWrap/>
            <w:hideMark/>
          </w:tcPr>
          <w:p w14:paraId="0CF104FA"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Artesia</w:t>
            </w:r>
          </w:p>
        </w:tc>
        <w:tc>
          <w:tcPr>
            <w:tcW w:w="7655" w:type="dxa"/>
          </w:tcPr>
          <w:p w14:paraId="1558AAD0"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Artesia General Plan 2030</w:t>
            </w:r>
          </w:p>
        </w:tc>
      </w:tr>
      <w:tr w:rsidR="00B65FE5" w:rsidRPr="0050622D" w14:paraId="17CA9D5F" w14:textId="77777777" w:rsidTr="18E55A4C">
        <w:trPr>
          <w:trHeight w:val="288"/>
        </w:trPr>
        <w:tc>
          <w:tcPr>
            <w:tcW w:w="2263" w:type="dxa"/>
            <w:noWrap/>
            <w:hideMark/>
          </w:tcPr>
          <w:p w14:paraId="0BEA064A"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Avalon</w:t>
            </w:r>
          </w:p>
        </w:tc>
        <w:tc>
          <w:tcPr>
            <w:tcW w:w="7655" w:type="dxa"/>
          </w:tcPr>
          <w:p w14:paraId="2C0004F3"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Avalon 2030 General Plan / Local Coastal Plan</w:t>
            </w:r>
          </w:p>
        </w:tc>
      </w:tr>
      <w:tr w:rsidR="00B65FE5" w:rsidRPr="0050622D" w14:paraId="3C486BCD" w14:textId="77777777" w:rsidTr="18E55A4C">
        <w:trPr>
          <w:trHeight w:val="288"/>
        </w:trPr>
        <w:tc>
          <w:tcPr>
            <w:tcW w:w="2263" w:type="dxa"/>
            <w:noWrap/>
            <w:hideMark/>
          </w:tcPr>
          <w:p w14:paraId="5303F6BD"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Azusa</w:t>
            </w:r>
          </w:p>
        </w:tc>
        <w:tc>
          <w:tcPr>
            <w:tcW w:w="7655" w:type="dxa"/>
          </w:tcPr>
          <w:p w14:paraId="5A1D9776"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Azusa General Plan</w:t>
            </w:r>
          </w:p>
        </w:tc>
      </w:tr>
      <w:tr w:rsidR="00B65FE5" w:rsidRPr="0050622D" w14:paraId="1FDD6C09" w14:textId="77777777" w:rsidTr="18E55A4C">
        <w:trPr>
          <w:trHeight w:val="288"/>
        </w:trPr>
        <w:tc>
          <w:tcPr>
            <w:tcW w:w="2263" w:type="dxa"/>
            <w:noWrap/>
            <w:hideMark/>
          </w:tcPr>
          <w:p w14:paraId="415C5A75"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Baldwin Park</w:t>
            </w:r>
          </w:p>
        </w:tc>
        <w:tc>
          <w:tcPr>
            <w:tcW w:w="7655" w:type="dxa"/>
          </w:tcPr>
          <w:p w14:paraId="0F07232F"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Baldwin Park 2020 General Plan</w:t>
            </w:r>
          </w:p>
        </w:tc>
      </w:tr>
      <w:tr w:rsidR="00B65FE5" w:rsidRPr="0050622D" w14:paraId="55B1E59A" w14:textId="77777777" w:rsidTr="18E55A4C">
        <w:trPr>
          <w:trHeight w:val="288"/>
        </w:trPr>
        <w:tc>
          <w:tcPr>
            <w:tcW w:w="2263" w:type="dxa"/>
            <w:noWrap/>
            <w:hideMark/>
          </w:tcPr>
          <w:p w14:paraId="0C86645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Bell Gardens</w:t>
            </w:r>
          </w:p>
        </w:tc>
        <w:tc>
          <w:tcPr>
            <w:tcW w:w="7655" w:type="dxa"/>
          </w:tcPr>
          <w:p w14:paraId="1AC3697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Bell Gardens 2030 Comprehensive General Plan</w:t>
            </w:r>
          </w:p>
        </w:tc>
      </w:tr>
      <w:tr w:rsidR="00B65FE5" w:rsidRPr="0050622D" w14:paraId="16EBBF67" w14:textId="77777777" w:rsidTr="18E55A4C">
        <w:trPr>
          <w:trHeight w:val="288"/>
        </w:trPr>
        <w:tc>
          <w:tcPr>
            <w:tcW w:w="2263" w:type="dxa"/>
            <w:noWrap/>
            <w:hideMark/>
          </w:tcPr>
          <w:p w14:paraId="24C229F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Bellflower</w:t>
            </w:r>
          </w:p>
        </w:tc>
        <w:tc>
          <w:tcPr>
            <w:tcW w:w="7655" w:type="dxa"/>
          </w:tcPr>
          <w:p w14:paraId="47D0236C"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Bellflower General Plan</w:t>
            </w:r>
          </w:p>
        </w:tc>
      </w:tr>
      <w:tr w:rsidR="00B65FE5" w:rsidRPr="0050622D" w14:paraId="0CD10226" w14:textId="77777777" w:rsidTr="18E55A4C">
        <w:trPr>
          <w:trHeight w:val="288"/>
        </w:trPr>
        <w:tc>
          <w:tcPr>
            <w:tcW w:w="2263" w:type="dxa"/>
            <w:noWrap/>
            <w:hideMark/>
          </w:tcPr>
          <w:p w14:paraId="6D1A8BBC"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Beverly Hills</w:t>
            </w:r>
          </w:p>
        </w:tc>
        <w:tc>
          <w:tcPr>
            <w:tcW w:w="7655" w:type="dxa"/>
          </w:tcPr>
          <w:p w14:paraId="2E6FA9C7"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Beverly Hills General Plan </w:t>
            </w:r>
          </w:p>
        </w:tc>
      </w:tr>
      <w:tr w:rsidR="00B65FE5" w:rsidRPr="0050622D" w14:paraId="0F0C78B7" w14:textId="77777777" w:rsidTr="18E55A4C">
        <w:trPr>
          <w:trHeight w:val="288"/>
        </w:trPr>
        <w:tc>
          <w:tcPr>
            <w:tcW w:w="2263" w:type="dxa"/>
            <w:noWrap/>
            <w:hideMark/>
          </w:tcPr>
          <w:p w14:paraId="494C30E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Bradbury</w:t>
            </w:r>
          </w:p>
        </w:tc>
        <w:tc>
          <w:tcPr>
            <w:tcW w:w="7655" w:type="dxa"/>
          </w:tcPr>
          <w:p w14:paraId="0AFC607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General Plan 2012-2030 Update</w:t>
            </w:r>
          </w:p>
        </w:tc>
      </w:tr>
      <w:tr w:rsidR="00B65FE5" w:rsidRPr="0050622D" w14:paraId="209D35D4" w14:textId="77777777" w:rsidTr="18E55A4C">
        <w:trPr>
          <w:trHeight w:val="288"/>
        </w:trPr>
        <w:tc>
          <w:tcPr>
            <w:tcW w:w="2263" w:type="dxa"/>
            <w:noWrap/>
            <w:hideMark/>
          </w:tcPr>
          <w:p w14:paraId="6C7FB7A7"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Burbank</w:t>
            </w:r>
          </w:p>
        </w:tc>
        <w:tc>
          <w:tcPr>
            <w:tcW w:w="7655" w:type="dxa"/>
          </w:tcPr>
          <w:p w14:paraId="7AB5843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Burbank 2035 General Plan</w:t>
            </w:r>
          </w:p>
        </w:tc>
      </w:tr>
      <w:tr w:rsidR="00B65FE5" w:rsidRPr="0050622D" w14:paraId="2B7D2D7E" w14:textId="77777777" w:rsidTr="18E55A4C">
        <w:trPr>
          <w:trHeight w:val="288"/>
        </w:trPr>
        <w:tc>
          <w:tcPr>
            <w:tcW w:w="2263" w:type="dxa"/>
            <w:noWrap/>
            <w:hideMark/>
          </w:tcPr>
          <w:p w14:paraId="4A26BA64"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Calabasas</w:t>
            </w:r>
          </w:p>
        </w:tc>
        <w:tc>
          <w:tcPr>
            <w:tcW w:w="7655" w:type="dxa"/>
          </w:tcPr>
          <w:p w14:paraId="4AC966E5"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Carson General Plan</w:t>
            </w:r>
          </w:p>
        </w:tc>
      </w:tr>
      <w:tr w:rsidR="00B65FE5" w:rsidRPr="0050622D" w14:paraId="69DD599A" w14:textId="77777777" w:rsidTr="18E55A4C">
        <w:trPr>
          <w:trHeight w:val="288"/>
        </w:trPr>
        <w:tc>
          <w:tcPr>
            <w:tcW w:w="2263" w:type="dxa"/>
            <w:noWrap/>
            <w:hideMark/>
          </w:tcPr>
          <w:p w14:paraId="7C470D7E"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Carson</w:t>
            </w:r>
          </w:p>
        </w:tc>
        <w:tc>
          <w:tcPr>
            <w:tcW w:w="7655" w:type="dxa"/>
          </w:tcPr>
          <w:p w14:paraId="4CDD88FE"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Carson General Plan</w:t>
            </w:r>
          </w:p>
        </w:tc>
      </w:tr>
      <w:tr w:rsidR="00B65FE5" w:rsidRPr="0050622D" w14:paraId="235CD285" w14:textId="77777777" w:rsidTr="18E55A4C">
        <w:trPr>
          <w:trHeight w:val="288"/>
        </w:trPr>
        <w:tc>
          <w:tcPr>
            <w:tcW w:w="2263" w:type="dxa"/>
            <w:noWrap/>
            <w:hideMark/>
          </w:tcPr>
          <w:p w14:paraId="6BC36746"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Cerritos</w:t>
            </w:r>
          </w:p>
        </w:tc>
        <w:tc>
          <w:tcPr>
            <w:tcW w:w="7655" w:type="dxa"/>
          </w:tcPr>
          <w:p w14:paraId="425DCBB6"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Cerritos Final General Plan</w:t>
            </w:r>
          </w:p>
        </w:tc>
      </w:tr>
      <w:tr w:rsidR="00B65FE5" w:rsidRPr="0050622D" w14:paraId="319FFCBA" w14:textId="77777777" w:rsidTr="18E55A4C">
        <w:trPr>
          <w:trHeight w:val="288"/>
        </w:trPr>
        <w:tc>
          <w:tcPr>
            <w:tcW w:w="2263" w:type="dxa"/>
            <w:noWrap/>
            <w:hideMark/>
          </w:tcPr>
          <w:p w14:paraId="3B050425"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Claremont</w:t>
            </w:r>
          </w:p>
        </w:tc>
        <w:tc>
          <w:tcPr>
            <w:tcW w:w="7655" w:type="dxa"/>
          </w:tcPr>
          <w:p w14:paraId="4A7CD263"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Claremont General Plan</w:t>
            </w:r>
          </w:p>
        </w:tc>
      </w:tr>
      <w:tr w:rsidR="00B65FE5" w:rsidRPr="0050622D" w14:paraId="56E04488" w14:textId="77777777" w:rsidTr="18E55A4C">
        <w:trPr>
          <w:trHeight w:val="288"/>
        </w:trPr>
        <w:tc>
          <w:tcPr>
            <w:tcW w:w="2263" w:type="dxa"/>
            <w:noWrap/>
            <w:hideMark/>
          </w:tcPr>
          <w:p w14:paraId="61AF4076"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Commerce</w:t>
            </w:r>
          </w:p>
        </w:tc>
        <w:tc>
          <w:tcPr>
            <w:tcW w:w="7655" w:type="dxa"/>
          </w:tcPr>
          <w:p w14:paraId="1B48E75B"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Commerce 2020 General Plan</w:t>
            </w:r>
          </w:p>
        </w:tc>
      </w:tr>
      <w:tr w:rsidR="00B65FE5" w:rsidRPr="0050622D" w14:paraId="2F991376" w14:textId="77777777" w:rsidTr="18E55A4C">
        <w:trPr>
          <w:trHeight w:val="288"/>
        </w:trPr>
        <w:tc>
          <w:tcPr>
            <w:tcW w:w="2263" w:type="dxa"/>
            <w:noWrap/>
            <w:hideMark/>
          </w:tcPr>
          <w:p w14:paraId="74B1F144"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Compton</w:t>
            </w:r>
          </w:p>
        </w:tc>
        <w:tc>
          <w:tcPr>
            <w:tcW w:w="7655" w:type="dxa"/>
          </w:tcPr>
          <w:p w14:paraId="6981B21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Compton 2030 Comprehensive General Plan Update</w:t>
            </w:r>
          </w:p>
        </w:tc>
      </w:tr>
      <w:tr w:rsidR="00B65FE5" w:rsidRPr="0050622D" w14:paraId="53B01501" w14:textId="77777777" w:rsidTr="18E55A4C">
        <w:trPr>
          <w:trHeight w:val="288"/>
        </w:trPr>
        <w:tc>
          <w:tcPr>
            <w:tcW w:w="2263" w:type="dxa"/>
            <w:noWrap/>
            <w:hideMark/>
          </w:tcPr>
          <w:p w14:paraId="1E8C752E"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Covina</w:t>
            </w:r>
          </w:p>
        </w:tc>
        <w:tc>
          <w:tcPr>
            <w:tcW w:w="7655" w:type="dxa"/>
          </w:tcPr>
          <w:p w14:paraId="0D781AF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Covina General Plan</w:t>
            </w:r>
          </w:p>
        </w:tc>
      </w:tr>
      <w:tr w:rsidR="00B65FE5" w:rsidRPr="0050622D" w14:paraId="4E975FBE" w14:textId="77777777" w:rsidTr="18E55A4C">
        <w:trPr>
          <w:trHeight w:val="288"/>
        </w:trPr>
        <w:tc>
          <w:tcPr>
            <w:tcW w:w="2263" w:type="dxa"/>
            <w:noWrap/>
            <w:hideMark/>
          </w:tcPr>
          <w:p w14:paraId="2522B0F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Cudahy</w:t>
            </w:r>
          </w:p>
        </w:tc>
        <w:tc>
          <w:tcPr>
            <w:tcW w:w="7655" w:type="dxa"/>
          </w:tcPr>
          <w:p w14:paraId="3EEABE6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Cudahy General Plan Annual Progress Report</w:t>
            </w:r>
          </w:p>
        </w:tc>
      </w:tr>
      <w:tr w:rsidR="00B65FE5" w:rsidRPr="0050622D" w14:paraId="5608447F" w14:textId="77777777" w:rsidTr="18E55A4C">
        <w:trPr>
          <w:trHeight w:val="288"/>
        </w:trPr>
        <w:tc>
          <w:tcPr>
            <w:tcW w:w="2263" w:type="dxa"/>
            <w:noWrap/>
            <w:hideMark/>
          </w:tcPr>
          <w:p w14:paraId="2040CC3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Culver City</w:t>
            </w:r>
          </w:p>
        </w:tc>
        <w:tc>
          <w:tcPr>
            <w:tcW w:w="7655" w:type="dxa"/>
          </w:tcPr>
          <w:p w14:paraId="70E681A3"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Culver City General Plan 2045</w:t>
            </w:r>
          </w:p>
        </w:tc>
      </w:tr>
      <w:tr w:rsidR="00B65FE5" w:rsidRPr="0050622D" w14:paraId="541E87AC" w14:textId="77777777" w:rsidTr="18E55A4C">
        <w:trPr>
          <w:trHeight w:val="288"/>
        </w:trPr>
        <w:tc>
          <w:tcPr>
            <w:tcW w:w="2263" w:type="dxa"/>
            <w:noWrap/>
            <w:hideMark/>
          </w:tcPr>
          <w:p w14:paraId="1638A6C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Diamond Bar</w:t>
            </w:r>
          </w:p>
        </w:tc>
        <w:tc>
          <w:tcPr>
            <w:tcW w:w="7655" w:type="dxa"/>
          </w:tcPr>
          <w:p w14:paraId="16624C87"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Bar Diamond Bar General Plan 2040</w:t>
            </w:r>
          </w:p>
        </w:tc>
      </w:tr>
      <w:tr w:rsidR="00B65FE5" w:rsidRPr="0050622D" w14:paraId="4148F07E" w14:textId="77777777" w:rsidTr="18E55A4C">
        <w:trPr>
          <w:trHeight w:val="288"/>
        </w:trPr>
        <w:tc>
          <w:tcPr>
            <w:tcW w:w="2263" w:type="dxa"/>
            <w:noWrap/>
            <w:hideMark/>
          </w:tcPr>
          <w:p w14:paraId="3247A6E7"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Downey</w:t>
            </w:r>
          </w:p>
        </w:tc>
        <w:tc>
          <w:tcPr>
            <w:tcW w:w="7655" w:type="dxa"/>
          </w:tcPr>
          <w:p w14:paraId="01DAC875"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Downey Vision 2025 General Plan</w:t>
            </w:r>
          </w:p>
        </w:tc>
      </w:tr>
      <w:tr w:rsidR="00B65FE5" w:rsidRPr="0050622D" w14:paraId="64D191A9" w14:textId="77777777" w:rsidTr="18E55A4C">
        <w:trPr>
          <w:trHeight w:val="288"/>
        </w:trPr>
        <w:tc>
          <w:tcPr>
            <w:tcW w:w="2263" w:type="dxa"/>
            <w:noWrap/>
            <w:hideMark/>
          </w:tcPr>
          <w:p w14:paraId="263EF04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Duarte</w:t>
            </w:r>
          </w:p>
        </w:tc>
        <w:tc>
          <w:tcPr>
            <w:tcW w:w="7655" w:type="dxa"/>
          </w:tcPr>
          <w:p w14:paraId="579406B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Duarte Comprehensive General Plan 2005</w:t>
            </w:r>
          </w:p>
        </w:tc>
      </w:tr>
      <w:tr w:rsidR="00B65FE5" w:rsidRPr="0050622D" w14:paraId="77FFDBD5" w14:textId="77777777" w:rsidTr="18E55A4C">
        <w:trPr>
          <w:trHeight w:val="288"/>
        </w:trPr>
        <w:tc>
          <w:tcPr>
            <w:tcW w:w="2263" w:type="dxa"/>
            <w:noWrap/>
            <w:hideMark/>
          </w:tcPr>
          <w:p w14:paraId="56CDE6AC"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El Monte</w:t>
            </w:r>
          </w:p>
        </w:tc>
        <w:tc>
          <w:tcPr>
            <w:tcW w:w="7655" w:type="dxa"/>
          </w:tcPr>
          <w:p w14:paraId="34172C00"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El Monte Community Development General Plan</w:t>
            </w:r>
          </w:p>
        </w:tc>
      </w:tr>
      <w:tr w:rsidR="00B65FE5" w:rsidRPr="0050622D" w14:paraId="695030C3" w14:textId="77777777" w:rsidTr="18E55A4C">
        <w:trPr>
          <w:trHeight w:val="288"/>
        </w:trPr>
        <w:tc>
          <w:tcPr>
            <w:tcW w:w="2263" w:type="dxa"/>
            <w:noWrap/>
            <w:hideMark/>
          </w:tcPr>
          <w:p w14:paraId="2DA1606F"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El Segundo</w:t>
            </w:r>
          </w:p>
        </w:tc>
        <w:tc>
          <w:tcPr>
            <w:tcW w:w="7655" w:type="dxa"/>
          </w:tcPr>
          <w:p w14:paraId="22FD4516"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The El Segundo General Plan</w:t>
            </w:r>
          </w:p>
        </w:tc>
      </w:tr>
      <w:tr w:rsidR="00B65FE5" w:rsidRPr="0050622D" w14:paraId="31FE5556" w14:textId="77777777" w:rsidTr="18E55A4C">
        <w:trPr>
          <w:trHeight w:val="288"/>
        </w:trPr>
        <w:tc>
          <w:tcPr>
            <w:tcW w:w="2263" w:type="dxa"/>
            <w:noWrap/>
            <w:hideMark/>
          </w:tcPr>
          <w:p w14:paraId="446B8587"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Gardena</w:t>
            </w:r>
          </w:p>
        </w:tc>
        <w:tc>
          <w:tcPr>
            <w:tcW w:w="7655" w:type="dxa"/>
          </w:tcPr>
          <w:p w14:paraId="6BEE59F7"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Gardena General Plan </w:t>
            </w:r>
          </w:p>
        </w:tc>
      </w:tr>
      <w:tr w:rsidR="00B65FE5" w:rsidRPr="0050622D" w14:paraId="5694106D" w14:textId="77777777" w:rsidTr="18E55A4C">
        <w:trPr>
          <w:trHeight w:val="288"/>
        </w:trPr>
        <w:tc>
          <w:tcPr>
            <w:tcW w:w="2263" w:type="dxa"/>
            <w:noWrap/>
            <w:hideMark/>
          </w:tcPr>
          <w:p w14:paraId="051CA0C8"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Glendale</w:t>
            </w:r>
          </w:p>
        </w:tc>
        <w:tc>
          <w:tcPr>
            <w:tcW w:w="7655" w:type="dxa"/>
          </w:tcPr>
          <w:p w14:paraId="3650D8A5"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County Government Envision Glendale 2040 General Plan</w:t>
            </w:r>
          </w:p>
        </w:tc>
      </w:tr>
      <w:tr w:rsidR="00B65FE5" w:rsidRPr="0050622D" w14:paraId="12992315" w14:textId="77777777" w:rsidTr="18E55A4C">
        <w:trPr>
          <w:trHeight w:val="288"/>
        </w:trPr>
        <w:tc>
          <w:tcPr>
            <w:tcW w:w="2263" w:type="dxa"/>
            <w:noWrap/>
            <w:hideMark/>
          </w:tcPr>
          <w:p w14:paraId="0947015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Glendora</w:t>
            </w:r>
          </w:p>
        </w:tc>
        <w:tc>
          <w:tcPr>
            <w:tcW w:w="7655" w:type="dxa"/>
          </w:tcPr>
          <w:p w14:paraId="040A1A2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Glendora Community Plan 2025</w:t>
            </w:r>
          </w:p>
        </w:tc>
      </w:tr>
      <w:tr w:rsidR="00B65FE5" w:rsidRPr="0050622D" w14:paraId="37C9385B" w14:textId="77777777" w:rsidTr="18E55A4C">
        <w:trPr>
          <w:trHeight w:val="288"/>
        </w:trPr>
        <w:tc>
          <w:tcPr>
            <w:tcW w:w="2263" w:type="dxa"/>
            <w:noWrap/>
            <w:hideMark/>
          </w:tcPr>
          <w:p w14:paraId="17E38DDC"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Hawaiian Gardens</w:t>
            </w:r>
          </w:p>
        </w:tc>
        <w:tc>
          <w:tcPr>
            <w:tcW w:w="7655" w:type="dxa"/>
          </w:tcPr>
          <w:p w14:paraId="0FC5F15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Hawaiian Gardens General Plan</w:t>
            </w:r>
          </w:p>
        </w:tc>
      </w:tr>
      <w:tr w:rsidR="00B65FE5" w:rsidRPr="0050622D" w14:paraId="6A3A5ACE" w14:textId="77777777" w:rsidTr="18E55A4C">
        <w:trPr>
          <w:trHeight w:val="288"/>
        </w:trPr>
        <w:tc>
          <w:tcPr>
            <w:tcW w:w="2263" w:type="dxa"/>
            <w:noWrap/>
            <w:hideMark/>
          </w:tcPr>
          <w:p w14:paraId="3D83BE0C"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Hawthorne</w:t>
            </w:r>
          </w:p>
        </w:tc>
        <w:tc>
          <w:tcPr>
            <w:tcW w:w="7655" w:type="dxa"/>
          </w:tcPr>
          <w:p w14:paraId="021E94A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Hawthorne General Plan</w:t>
            </w:r>
          </w:p>
        </w:tc>
      </w:tr>
      <w:tr w:rsidR="00B65FE5" w:rsidRPr="0050622D" w14:paraId="7CB1B7C3" w14:textId="77777777" w:rsidTr="18E55A4C">
        <w:trPr>
          <w:trHeight w:val="288"/>
        </w:trPr>
        <w:tc>
          <w:tcPr>
            <w:tcW w:w="2263" w:type="dxa"/>
            <w:noWrap/>
            <w:hideMark/>
          </w:tcPr>
          <w:p w14:paraId="5BBA864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Hidden Hills</w:t>
            </w:r>
          </w:p>
        </w:tc>
        <w:tc>
          <w:tcPr>
            <w:tcW w:w="7655" w:type="dxa"/>
          </w:tcPr>
          <w:p w14:paraId="1DBD27EF"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Hidden Hills General Plan</w:t>
            </w:r>
          </w:p>
        </w:tc>
      </w:tr>
      <w:tr w:rsidR="00B65FE5" w:rsidRPr="0050622D" w14:paraId="23C316E4" w14:textId="77777777" w:rsidTr="18E55A4C">
        <w:trPr>
          <w:trHeight w:val="288"/>
        </w:trPr>
        <w:tc>
          <w:tcPr>
            <w:tcW w:w="2263" w:type="dxa"/>
            <w:noWrap/>
            <w:hideMark/>
          </w:tcPr>
          <w:p w14:paraId="48E3C008"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Huntington Park</w:t>
            </w:r>
          </w:p>
        </w:tc>
        <w:tc>
          <w:tcPr>
            <w:tcW w:w="7655" w:type="dxa"/>
          </w:tcPr>
          <w:p w14:paraId="644AC70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Huntington Park General Plan</w:t>
            </w:r>
          </w:p>
        </w:tc>
      </w:tr>
      <w:tr w:rsidR="00B65FE5" w:rsidRPr="0050622D" w14:paraId="01665F98" w14:textId="77777777" w:rsidTr="18E55A4C">
        <w:trPr>
          <w:trHeight w:val="288"/>
        </w:trPr>
        <w:tc>
          <w:tcPr>
            <w:tcW w:w="2263" w:type="dxa"/>
            <w:noWrap/>
            <w:hideMark/>
          </w:tcPr>
          <w:p w14:paraId="0E51E227"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Industry</w:t>
            </w:r>
          </w:p>
        </w:tc>
        <w:tc>
          <w:tcPr>
            <w:tcW w:w="7655" w:type="dxa"/>
          </w:tcPr>
          <w:p w14:paraId="765DA3EB"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Industry 2014 General Plan</w:t>
            </w:r>
          </w:p>
        </w:tc>
      </w:tr>
      <w:tr w:rsidR="00B65FE5" w:rsidRPr="0050622D" w14:paraId="45610946" w14:textId="77777777" w:rsidTr="18E55A4C">
        <w:trPr>
          <w:trHeight w:val="288"/>
        </w:trPr>
        <w:tc>
          <w:tcPr>
            <w:tcW w:w="2263" w:type="dxa"/>
            <w:noWrap/>
            <w:hideMark/>
          </w:tcPr>
          <w:p w14:paraId="4F6DE90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Inglewood</w:t>
            </w:r>
          </w:p>
        </w:tc>
        <w:tc>
          <w:tcPr>
            <w:tcW w:w="7655" w:type="dxa"/>
          </w:tcPr>
          <w:p w14:paraId="46910B0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County Government Inglewood General Plan Proposal</w:t>
            </w:r>
          </w:p>
        </w:tc>
      </w:tr>
      <w:tr w:rsidR="00B65FE5" w:rsidRPr="0050622D" w14:paraId="37D657A4" w14:textId="77777777" w:rsidTr="18E55A4C">
        <w:trPr>
          <w:trHeight w:val="288"/>
        </w:trPr>
        <w:tc>
          <w:tcPr>
            <w:tcW w:w="2263" w:type="dxa"/>
            <w:noWrap/>
            <w:hideMark/>
          </w:tcPr>
          <w:p w14:paraId="36AD9454"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Irwindale</w:t>
            </w:r>
          </w:p>
        </w:tc>
        <w:tc>
          <w:tcPr>
            <w:tcW w:w="7655" w:type="dxa"/>
          </w:tcPr>
          <w:p w14:paraId="3C202273"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Irwindale 2020 General Plan</w:t>
            </w:r>
          </w:p>
        </w:tc>
      </w:tr>
      <w:tr w:rsidR="00B65FE5" w:rsidRPr="0050622D" w14:paraId="3C6698CD" w14:textId="77777777" w:rsidTr="18E55A4C">
        <w:trPr>
          <w:trHeight w:val="288"/>
        </w:trPr>
        <w:tc>
          <w:tcPr>
            <w:tcW w:w="2263" w:type="dxa"/>
            <w:noWrap/>
            <w:hideMark/>
          </w:tcPr>
          <w:p w14:paraId="34ECFB75"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lastRenderedPageBreak/>
              <w:t>La Canada Flintridge</w:t>
            </w:r>
          </w:p>
        </w:tc>
        <w:tc>
          <w:tcPr>
            <w:tcW w:w="7655" w:type="dxa"/>
          </w:tcPr>
          <w:p w14:paraId="027778EC"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La Cañada Flintridge General Plan 2030</w:t>
            </w:r>
          </w:p>
        </w:tc>
      </w:tr>
      <w:tr w:rsidR="00B65FE5" w:rsidRPr="0050622D" w14:paraId="690C958B" w14:textId="77777777" w:rsidTr="18E55A4C">
        <w:trPr>
          <w:trHeight w:val="288"/>
        </w:trPr>
        <w:tc>
          <w:tcPr>
            <w:tcW w:w="2263" w:type="dxa"/>
            <w:noWrap/>
            <w:hideMark/>
          </w:tcPr>
          <w:p w14:paraId="4700CA9D"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La Habra Heights</w:t>
            </w:r>
          </w:p>
        </w:tc>
        <w:tc>
          <w:tcPr>
            <w:tcW w:w="7655" w:type="dxa"/>
          </w:tcPr>
          <w:p w14:paraId="0469C739"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La Habra Heights General Plan</w:t>
            </w:r>
          </w:p>
        </w:tc>
      </w:tr>
      <w:tr w:rsidR="00B65FE5" w:rsidRPr="0050622D" w14:paraId="148552FA" w14:textId="77777777" w:rsidTr="18E55A4C">
        <w:trPr>
          <w:trHeight w:val="288"/>
        </w:trPr>
        <w:tc>
          <w:tcPr>
            <w:tcW w:w="2263" w:type="dxa"/>
            <w:noWrap/>
          </w:tcPr>
          <w:p w14:paraId="22D1EC69"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La Mirada</w:t>
            </w:r>
          </w:p>
        </w:tc>
        <w:tc>
          <w:tcPr>
            <w:tcW w:w="7655" w:type="dxa"/>
          </w:tcPr>
          <w:p w14:paraId="6A6735BC" w14:textId="77777777" w:rsidR="00B65FE5" w:rsidRPr="0050622D" w:rsidRDefault="00B65FE5" w:rsidP="00353979">
            <w:pPr>
              <w:spacing w:line="278" w:lineRule="auto"/>
              <w:rPr>
                <w:rFonts w:ascii="Aptos Narrow" w:hAnsi="Aptos Narrow"/>
                <w:color w:val="467886"/>
                <w:u w:val="single"/>
              </w:rPr>
            </w:pPr>
            <w:r w:rsidRPr="0050622D">
              <w:rPr>
                <w:rFonts w:ascii="Aptos Narrow" w:hAnsi="Aptos Narrow"/>
                <w:color w:val="467886"/>
                <w:u w:val="single"/>
              </w:rPr>
              <w:t xml:space="preserve"> La Mirada General Plan</w:t>
            </w:r>
          </w:p>
        </w:tc>
      </w:tr>
      <w:tr w:rsidR="00B65FE5" w:rsidRPr="0050622D" w14:paraId="2B4D7753" w14:textId="77777777" w:rsidTr="18E55A4C">
        <w:trPr>
          <w:trHeight w:val="288"/>
        </w:trPr>
        <w:tc>
          <w:tcPr>
            <w:tcW w:w="2263" w:type="dxa"/>
            <w:noWrap/>
          </w:tcPr>
          <w:p w14:paraId="59CD06F4"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Los Puente</w:t>
            </w:r>
          </w:p>
        </w:tc>
        <w:tc>
          <w:tcPr>
            <w:tcW w:w="7655" w:type="dxa"/>
          </w:tcPr>
          <w:p w14:paraId="29909915" w14:textId="77777777" w:rsidR="00B65FE5" w:rsidRPr="0050622D" w:rsidRDefault="00B65FE5" w:rsidP="00353979">
            <w:pPr>
              <w:spacing w:line="278" w:lineRule="auto"/>
              <w:rPr>
                <w:rFonts w:ascii="Aptos Narrow" w:hAnsi="Aptos Narrow"/>
                <w:color w:val="467886"/>
                <w:u w:val="single"/>
              </w:rPr>
            </w:pPr>
            <w:r w:rsidRPr="0050622D">
              <w:rPr>
                <w:rFonts w:ascii="Aptos Narrow" w:hAnsi="Aptos Narrow"/>
                <w:color w:val="467886"/>
                <w:u w:val="single"/>
              </w:rPr>
              <w:t xml:space="preserve"> La Puente General Plan</w:t>
            </w:r>
          </w:p>
        </w:tc>
      </w:tr>
      <w:tr w:rsidR="00B65FE5" w:rsidRPr="0050622D" w14:paraId="46A10311" w14:textId="77777777" w:rsidTr="18E55A4C">
        <w:trPr>
          <w:trHeight w:val="288"/>
        </w:trPr>
        <w:tc>
          <w:tcPr>
            <w:tcW w:w="2263" w:type="dxa"/>
            <w:noWrap/>
          </w:tcPr>
          <w:p w14:paraId="55E7639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La Verne</w:t>
            </w:r>
          </w:p>
        </w:tc>
        <w:tc>
          <w:tcPr>
            <w:tcW w:w="7655" w:type="dxa"/>
          </w:tcPr>
          <w:p w14:paraId="28E3CFA0" w14:textId="77777777" w:rsidR="00B65FE5" w:rsidRPr="0050622D" w:rsidRDefault="00B65FE5" w:rsidP="00353979">
            <w:pPr>
              <w:spacing w:line="278" w:lineRule="auto"/>
              <w:rPr>
                <w:rFonts w:ascii="Aptos Narrow" w:hAnsi="Aptos Narrow"/>
                <w:color w:val="467886"/>
                <w:u w:val="single"/>
              </w:rPr>
            </w:pPr>
            <w:r w:rsidRPr="0050622D">
              <w:rPr>
                <w:rFonts w:ascii="Aptos Narrow" w:hAnsi="Aptos Narrow"/>
                <w:color w:val="467886"/>
                <w:u w:val="single"/>
              </w:rPr>
              <w:t>La Verne General Plan</w:t>
            </w:r>
          </w:p>
        </w:tc>
      </w:tr>
      <w:tr w:rsidR="00B65FE5" w:rsidRPr="0050622D" w14:paraId="2AD80BE2" w14:textId="77777777" w:rsidTr="18E55A4C">
        <w:trPr>
          <w:trHeight w:val="288"/>
        </w:trPr>
        <w:tc>
          <w:tcPr>
            <w:tcW w:w="2263" w:type="dxa"/>
            <w:noWrap/>
            <w:hideMark/>
          </w:tcPr>
          <w:p w14:paraId="29FF8A21"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Lakewood</w:t>
            </w:r>
          </w:p>
        </w:tc>
        <w:tc>
          <w:tcPr>
            <w:tcW w:w="7655" w:type="dxa"/>
          </w:tcPr>
          <w:p w14:paraId="4B62DD7E"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The Lakewood 2022 General Plan </w:t>
            </w:r>
          </w:p>
        </w:tc>
      </w:tr>
      <w:tr w:rsidR="00B65FE5" w:rsidRPr="0050622D" w14:paraId="59515E55" w14:textId="77777777" w:rsidTr="18E55A4C">
        <w:trPr>
          <w:trHeight w:val="288"/>
        </w:trPr>
        <w:tc>
          <w:tcPr>
            <w:tcW w:w="2263" w:type="dxa"/>
            <w:noWrap/>
            <w:hideMark/>
          </w:tcPr>
          <w:p w14:paraId="3D4CA02A"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Lancaster</w:t>
            </w:r>
          </w:p>
        </w:tc>
        <w:tc>
          <w:tcPr>
            <w:tcW w:w="7655" w:type="dxa"/>
          </w:tcPr>
          <w:p w14:paraId="3FA9348A"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Lancaster General Plan</w:t>
            </w:r>
          </w:p>
        </w:tc>
      </w:tr>
      <w:tr w:rsidR="00B65FE5" w:rsidRPr="0050622D" w14:paraId="0318DA90" w14:textId="77777777" w:rsidTr="18E55A4C">
        <w:trPr>
          <w:trHeight w:val="288"/>
        </w:trPr>
        <w:tc>
          <w:tcPr>
            <w:tcW w:w="2263" w:type="dxa"/>
            <w:noWrap/>
            <w:hideMark/>
          </w:tcPr>
          <w:p w14:paraId="219CD8AB"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Lawndale</w:t>
            </w:r>
          </w:p>
        </w:tc>
        <w:tc>
          <w:tcPr>
            <w:tcW w:w="7655" w:type="dxa"/>
          </w:tcPr>
          <w:p w14:paraId="1930E04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General Plan 2045 Lawndale</w:t>
            </w:r>
          </w:p>
        </w:tc>
      </w:tr>
      <w:tr w:rsidR="00B65FE5" w:rsidRPr="0050622D" w14:paraId="101D5E88" w14:textId="77777777" w:rsidTr="18E55A4C">
        <w:trPr>
          <w:trHeight w:val="288"/>
        </w:trPr>
        <w:tc>
          <w:tcPr>
            <w:tcW w:w="2263" w:type="dxa"/>
            <w:noWrap/>
            <w:hideMark/>
          </w:tcPr>
          <w:p w14:paraId="6B8586D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Lomita</w:t>
            </w:r>
          </w:p>
        </w:tc>
        <w:tc>
          <w:tcPr>
            <w:tcW w:w="7655" w:type="dxa"/>
          </w:tcPr>
          <w:p w14:paraId="7C92358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Lomita General Plan</w:t>
            </w:r>
          </w:p>
        </w:tc>
      </w:tr>
      <w:tr w:rsidR="00B65FE5" w:rsidRPr="0050622D" w14:paraId="1A426F14" w14:textId="77777777" w:rsidTr="18E55A4C">
        <w:trPr>
          <w:trHeight w:val="288"/>
        </w:trPr>
        <w:tc>
          <w:tcPr>
            <w:tcW w:w="2263" w:type="dxa"/>
            <w:noWrap/>
            <w:hideMark/>
          </w:tcPr>
          <w:p w14:paraId="51C04812"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Long Beach</w:t>
            </w:r>
          </w:p>
        </w:tc>
        <w:tc>
          <w:tcPr>
            <w:tcW w:w="7655" w:type="dxa"/>
          </w:tcPr>
          <w:p w14:paraId="5899AB03"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Long Beach General Plan</w:t>
            </w:r>
          </w:p>
        </w:tc>
      </w:tr>
      <w:tr w:rsidR="00B65FE5" w:rsidRPr="0050622D" w14:paraId="657A6FC4" w14:textId="77777777" w:rsidTr="18E55A4C">
        <w:trPr>
          <w:trHeight w:val="288"/>
        </w:trPr>
        <w:tc>
          <w:tcPr>
            <w:tcW w:w="2263" w:type="dxa"/>
            <w:noWrap/>
            <w:hideMark/>
          </w:tcPr>
          <w:p w14:paraId="01AC15B5"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Los Angeles</w:t>
            </w:r>
          </w:p>
        </w:tc>
        <w:tc>
          <w:tcPr>
            <w:tcW w:w="7655" w:type="dxa"/>
          </w:tcPr>
          <w:p w14:paraId="41C96026" w14:textId="77777777" w:rsidR="00B65FE5" w:rsidRPr="0050622D" w:rsidRDefault="2F8133D5" w:rsidP="00353979">
            <w:pPr>
              <w:spacing w:line="278" w:lineRule="auto"/>
              <w:rPr>
                <w:rFonts w:ascii="Times New Roman" w:eastAsia="Times New Roman" w:hAnsi="Times New Roman" w:cs="Times New Roman"/>
                <w:kern w:val="0"/>
                <w:sz w:val="20"/>
                <w:szCs w:val="20"/>
                <w14:ligatures w14:val="none"/>
              </w:rPr>
            </w:pPr>
            <w:hyperlink r:id="rId82">
              <w:r w:rsidRPr="18E55A4C">
                <w:rPr>
                  <w:rStyle w:val="Hyperlink"/>
                  <w:rFonts w:ascii="Aptos Narrow" w:hAnsi="Aptos Narrow"/>
                </w:rPr>
                <w:t>Los Angeles City G</w:t>
              </w:r>
              <w:r w:rsidRPr="18E55A4C">
                <w:rPr>
                  <w:rStyle w:val="Hyperlink"/>
                  <w:b/>
                  <w:bCs/>
                </w:rPr>
                <w:t>eneral</w:t>
              </w:r>
            </w:hyperlink>
            <w:r w:rsidRPr="18E55A4C">
              <w:rPr>
                <w:rFonts w:ascii="Aptos Narrow" w:hAnsi="Aptos Narrow"/>
                <w:color w:val="467886"/>
                <w:u w:val="single"/>
              </w:rPr>
              <w:t xml:space="preserve"> Plan 2025</w:t>
            </w:r>
          </w:p>
        </w:tc>
      </w:tr>
      <w:tr w:rsidR="00B65FE5" w:rsidRPr="0050622D" w14:paraId="5E7F7568" w14:textId="77777777" w:rsidTr="18E55A4C">
        <w:trPr>
          <w:trHeight w:val="288"/>
        </w:trPr>
        <w:tc>
          <w:tcPr>
            <w:tcW w:w="2263" w:type="dxa"/>
            <w:noWrap/>
            <w:hideMark/>
          </w:tcPr>
          <w:p w14:paraId="251E9A81"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Lynwood</w:t>
            </w:r>
          </w:p>
        </w:tc>
        <w:tc>
          <w:tcPr>
            <w:tcW w:w="7655" w:type="dxa"/>
          </w:tcPr>
          <w:p w14:paraId="221A1AB6"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Lynwood General Plan</w:t>
            </w:r>
          </w:p>
        </w:tc>
      </w:tr>
      <w:tr w:rsidR="00B65FE5" w:rsidRPr="0050622D" w14:paraId="390E2022" w14:textId="77777777" w:rsidTr="18E55A4C">
        <w:trPr>
          <w:trHeight w:val="288"/>
        </w:trPr>
        <w:tc>
          <w:tcPr>
            <w:tcW w:w="2263" w:type="dxa"/>
            <w:noWrap/>
            <w:hideMark/>
          </w:tcPr>
          <w:p w14:paraId="5AC806F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Malibu</w:t>
            </w:r>
          </w:p>
        </w:tc>
        <w:tc>
          <w:tcPr>
            <w:tcW w:w="7655" w:type="dxa"/>
          </w:tcPr>
          <w:p w14:paraId="46BF6EE5"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Malibu General Plan</w:t>
            </w:r>
          </w:p>
        </w:tc>
      </w:tr>
      <w:tr w:rsidR="00B65FE5" w:rsidRPr="0050622D" w14:paraId="6F465E65" w14:textId="77777777" w:rsidTr="18E55A4C">
        <w:trPr>
          <w:trHeight w:val="288"/>
        </w:trPr>
        <w:tc>
          <w:tcPr>
            <w:tcW w:w="2263" w:type="dxa"/>
            <w:noWrap/>
            <w:hideMark/>
          </w:tcPr>
          <w:p w14:paraId="6DF38321"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Maywood</w:t>
            </w:r>
          </w:p>
        </w:tc>
        <w:tc>
          <w:tcPr>
            <w:tcW w:w="7655" w:type="dxa"/>
          </w:tcPr>
          <w:p w14:paraId="31FA6D7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Maywood General Plan</w:t>
            </w:r>
          </w:p>
        </w:tc>
      </w:tr>
      <w:tr w:rsidR="00B65FE5" w:rsidRPr="0050622D" w14:paraId="00861075" w14:textId="77777777" w:rsidTr="18E55A4C">
        <w:trPr>
          <w:trHeight w:val="288"/>
        </w:trPr>
        <w:tc>
          <w:tcPr>
            <w:tcW w:w="2263" w:type="dxa"/>
            <w:noWrap/>
            <w:hideMark/>
          </w:tcPr>
          <w:p w14:paraId="79A045AB"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Monrovia</w:t>
            </w:r>
          </w:p>
        </w:tc>
        <w:tc>
          <w:tcPr>
            <w:tcW w:w="7655" w:type="dxa"/>
          </w:tcPr>
          <w:p w14:paraId="149DB06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Monrovia General Plan</w:t>
            </w:r>
          </w:p>
        </w:tc>
      </w:tr>
      <w:tr w:rsidR="00B65FE5" w:rsidRPr="0050622D" w14:paraId="370CBBBD" w14:textId="77777777" w:rsidTr="18E55A4C">
        <w:trPr>
          <w:trHeight w:val="288"/>
        </w:trPr>
        <w:tc>
          <w:tcPr>
            <w:tcW w:w="2263" w:type="dxa"/>
            <w:noWrap/>
            <w:hideMark/>
          </w:tcPr>
          <w:p w14:paraId="3231F73A"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Montebello</w:t>
            </w:r>
          </w:p>
        </w:tc>
        <w:tc>
          <w:tcPr>
            <w:tcW w:w="7655" w:type="dxa"/>
          </w:tcPr>
          <w:p w14:paraId="41E631AE"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Montebello General Plan </w:t>
            </w:r>
          </w:p>
        </w:tc>
      </w:tr>
      <w:tr w:rsidR="00B65FE5" w:rsidRPr="0050622D" w14:paraId="228FDD8C" w14:textId="77777777" w:rsidTr="18E55A4C">
        <w:trPr>
          <w:trHeight w:val="288"/>
        </w:trPr>
        <w:tc>
          <w:tcPr>
            <w:tcW w:w="2263" w:type="dxa"/>
            <w:noWrap/>
            <w:hideMark/>
          </w:tcPr>
          <w:p w14:paraId="7E8B0372"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Monterey Park</w:t>
            </w:r>
          </w:p>
        </w:tc>
        <w:tc>
          <w:tcPr>
            <w:tcW w:w="7655" w:type="dxa"/>
          </w:tcPr>
          <w:p w14:paraId="361018B0"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Monterey Park General Plan</w:t>
            </w:r>
          </w:p>
        </w:tc>
      </w:tr>
      <w:tr w:rsidR="00B65FE5" w:rsidRPr="0050622D" w14:paraId="1868D5BE" w14:textId="77777777" w:rsidTr="18E55A4C">
        <w:trPr>
          <w:trHeight w:val="288"/>
        </w:trPr>
        <w:tc>
          <w:tcPr>
            <w:tcW w:w="2263" w:type="dxa"/>
            <w:noWrap/>
            <w:hideMark/>
          </w:tcPr>
          <w:p w14:paraId="043313E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Norwalk</w:t>
            </w:r>
          </w:p>
        </w:tc>
        <w:tc>
          <w:tcPr>
            <w:tcW w:w="7655" w:type="dxa"/>
          </w:tcPr>
          <w:p w14:paraId="368E9EA4"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Norwalk Citywide Plan: 2019-2029 </w:t>
            </w:r>
          </w:p>
        </w:tc>
      </w:tr>
      <w:tr w:rsidR="00B65FE5" w:rsidRPr="0050622D" w14:paraId="60D3AAF9" w14:textId="77777777" w:rsidTr="18E55A4C">
        <w:trPr>
          <w:trHeight w:val="288"/>
        </w:trPr>
        <w:tc>
          <w:tcPr>
            <w:tcW w:w="2263" w:type="dxa"/>
            <w:noWrap/>
            <w:hideMark/>
          </w:tcPr>
          <w:p w14:paraId="08DC9D8A"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Palmdale</w:t>
            </w:r>
          </w:p>
        </w:tc>
        <w:tc>
          <w:tcPr>
            <w:tcW w:w="7655" w:type="dxa"/>
          </w:tcPr>
          <w:p w14:paraId="12945D80"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Palmdale 2045 General Plan Update</w:t>
            </w:r>
          </w:p>
        </w:tc>
      </w:tr>
      <w:tr w:rsidR="00B65FE5" w:rsidRPr="0050622D" w14:paraId="3BF0E27C" w14:textId="77777777" w:rsidTr="18E55A4C">
        <w:trPr>
          <w:trHeight w:val="288"/>
        </w:trPr>
        <w:tc>
          <w:tcPr>
            <w:tcW w:w="2263" w:type="dxa"/>
            <w:noWrap/>
            <w:hideMark/>
          </w:tcPr>
          <w:p w14:paraId="33530A7E"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Paramount</w:t>
            </w:r>
          </w:p>
        </w:tc>
        <w:tc>
          <w:tcPr>
            <w:tcW w:w="7655" w:type="dxa"/>
          </w:tcPr>
          <w:p w14:paraId="13C65D2A"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Paramount General Plan</w:t>
            </w:r>
          </w:p>
        </w:tc>
      </w:tr>
      <w:tr w:rsidR="00B65FE5" w:rsidRPr="0050622D" w14:paraId="274BDAA9" w14:textId="77777777" w:rsidTr="18E55A4C">
        <w:trPr>
          <w:trHeight w:val="288"/>
        </w:trPr>
        <w:tc>
          <w:tcPr>
            <w:tcW w:w="2263" w:type="dxa"/>
            <w:noWrap/>
            <w:hideMark/>
          </w:tcPr>
          <w:p w14:paraId="232D7ACD"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Pasadena</w:t>
            </w:r>
          </w:p>
        </w:tc>
        <w:tc>
          <w:tcPr>
            <w:tcW w:w="7655" w:type="dxa"/>
          </w:tcPr>
          <w:p w14:paraId="22CCD674"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Pasadena General Plan</w:t>
            </w:r>
          </w:p>
        </w:tc>
      </w:tr>
      <w:tr w:rsidR="00B65FE5" w:rsidRPr="0050622D" w14:paraId="613B40BF" w14:textId="77777777" w:rsidTr="18E55A4C">
        <w:trPr>
          <w:trHeight w:val="288"/>
        </w:trPr>
        <w:tc>
          <w:tcPr>
            <w:tcW w:w="2263" w:type="dxa"/>
            <w:noWrap/>
            <w:hideMark/>
          </w:tcPr>
          <w:p w14:paraId="241059EA"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Pico Rivera</w:t>
            </w:r>
          </w:p>
        </w:tc>
        <w:tc>
          <w:tcPr>
            <w:tcW w:w="7655" w:type="dxa"/>
          </w:tcPr>
          <w:p w14:paraId="22563BA7"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General Plan</w:t>
            </w:r>
          </w:p>
        </w:tc>
      </w:tr>
      <w:tr w:rsidR="00B65FE5" w:rsidRPr="0050622D" w14:paraId="28DFA132" w14:textId="77777777" w:rsidTr="18E55A4C">
        <w:trPr>
          <w:trHeight w:val="288"/>
        </w:trPr>
        <w:tc>
          <w:tcPr>
            <w:tcW w:w="2263" w:type="dxa"/>
            <w:noWrap/>
            <w:hideMark/>
          </w:tcPr>
          <w:p w14:paraId="392FB96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Rancho Palos Verdes</w:t>
            </w:r>
          </w:p>
        </w:tc>
        <w:tc>
          <w:tcPr>
            <w:tcW w:w="7655" w:type="dxa"/>
          </w:tcPr>
          <w:p w14:paraId="76E7777B"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Rancho Palos Verdes General Plan</w:t>
            </w:r>
          </w:p>
        </w:tc>
      </w:tr>
      <w:tr w:rsidR="00B65FE5" w:rsidRPr="0050622D" w14:paraId="790FF766" w14:textId="77777777" w:rsidTr="18E55A4C">
        <w:trPr>
          <w:trHeight w:val="288"/>
        </w:trPr>
        <w:tc>
          <w:tcPr>
            <w:tcW w:w="2263" w:type="dxa"/>
            <w:noWrap/>
            <w:hideMark/>
          </w:tcPr>
          <w:p w14:paraId="2637CA37"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Redondo Beach</w:t>
            </w:r>
          </w:p>
        </w:tc>
        <w:tc>
          <w:tcPr>
            <w:tcW w:w="7655" w:type="dxa"/>
          </w:tcPr>
          <w:p w14:paraId="45556BA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Redondo Beach General Plan</w:t>
            </w:r>
          </w:p>
        </w:tc>
      </w:tr>
      <w:tr w:rsidR="00B65FE5" w:rsidRPr="0050622D" w14:paraId="0DA1407B" w14:textId="77777777" w:rsidTr="18E55A4C">
        <w:trPr>
          <w:trHeight w:val="288"/>
        </w:trPr>
        <w:tc>
          <w:tcPr>
            <w:tcW w:w="2263" w:type="dxa"/>
            <w:noWrap/>
            <w:hideMark/>
          </w:tcPr>
          <w:p w14:paraId="74930F6B"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Rolling Hills</w:t>
            </w:r>
          </w:p>
        </w:tc>
        <w:tc>
          <w:tcPr>
            <w:tcW w:w="7655" w:type="dxa"/>
          </w:tcPr>
          <w:p w14:paraId="48C3766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Rolling Hills Estates General Plan 2040</w:t>
            </w:r>
          </w:p>
        </w:tc>
      </w:tr>
      <w:tr w:rsidR="00B65FE5" w:rsidRPr="0050622D" w14:paraId="0E449F72" w14:textId="77777777" w:rsidTr="18E55A4C">
        <w:trPr>
          <w:trHeight w:val="288"/>
        </w:trPr>
        <w:tc>
          <w:tcPr>
            <w:tcW w:w="2263" w:type="dxa"/>
            <w:noWrap/>
            <w:hideMark/>
          </w:tcPr>
          <w:p w14:paraId="7E336EF8"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Rolling Hills</w:t>
            </w:r>
          </w:p>
        </w:tc>
        <w:tc>
          <w:tcPr>
            <w:tcW w:w="7655" w:type="dxa"/>
          </w:tcPr>
          <w:p w14:paraId="16351A74"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Rolling Hills General Plan</w:t>
            </w:r>
          </w:p>
        </w:tc>
      </w:tr>
      <w:tr w:rsidR="00B65FE5" w:rsidRPr="0050622D" w14:paraId="6F7CF23D" w14:textId="77777777" w:rsidTr="18E55A4C">
        <w:trPr>
          <w:trHeight w:val="288"/>
        </w:trPr>
        <w:tc>
          <w:tcPr>
            <w:tcW w:w="2263" w:type="dxa"/>
            <w:noWrap/>
            <w:hideMark/>
          </w:tcPr>
          <w:p w14:paraId="79A5A0F1"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Rosemead</w:t>
            </w:r>
          </w:p>
        </w:tc>
        <w:tc>
          <w:tcPr>
            <w:tcW w:w="7655" w:type="dxa"/>
          </w:tcPr>
          <w:p w14:paraId="621C372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Rosemead General Plan Update</w:t>
            </w:r>
          </w:p>
        </w:tc>
      </w:tr>
      <w:tr w:rsidR="00B65FE5" w:rsidRPr="0050622D" w14:paraId="02E367BE" w14:textId="77777777" w:rsidTr="18E55A4C">
        <w:trPr>
          <w:trHeight w:val="288"/>
        </w:trPr>
        <w:tc>
          <w:tcPr>
            <w:tcW w:w="2263" w:type="dxa"/>
            <w:noWrap/>
            <w:hideMark/>
          </w:tcPr>
          <w:p w14:paraId="2765FFE7"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San Dimas</w:t>
            </w:r>
          </w:p>
        </w:tc>
        <w:tc>
          <w:tcPr>
            <w:tcW w:w="7655" w:type="dxa"/>
          </w:tcPr>
          <w:p w14:paraId="0F171092"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San Dimas General Plan</w:t>
            </w:r>
          </w:p>
        </w:tc>
      </w:tr>
      <w:tr w:rsidR="00B65FE5" w:rsidRPr="0050622D" w14:paraId="21C2E1E7" w14:textId="77777777" w:rsidTr="18E55A4C">
        <w:trPr>
          <w:trHeight w:val="288"/>
        </w:trPr>
        <w:tc>
          <w:tcPr>
            <w:tcW w:w="2263" w:type="dxa"/>
            <w:noWrap/>
            <w:hideMark/>
          </w:tcPr>
          <w:p w14:paraId="690F881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San Fernando</w:t>
            </w:r>
          </w:p>
        </w:tc>
        <w:tc>
          <w:tcPr>
            <w:tcW w:w="7655" w:type="dxa"/>
          </w:tcPr>
          <w:p w14:paraId="13E3B5D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Sab Fernando Revised General Plan</w:t>
            </w:r>
          </w:p>
        </w:tc>
      </w:tr>
      <w:tr w:rsidR="00B65FE5" w:rsidRPr="0050622D" w14:paraId="3F478E07" w14:textId="77777777" w:rsidTr="18E55A4C">
        <w:trPr>
          <w:trHeight w:val="288"/>
        </w:trPr>
        <w:tc>
          <w:tcPr>
            <w:tcW w:w="2263" w:type="dxa"/>
            <w:noWrap/>
            <w:hideMark/>
          </w:tcPr>
          <w:p w14:paraId="4C611FA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San Gabriel</w:t>
            </w:r>
          </w:p>
        </w:tc>
        <w:tc>
          <w:tcPr>
            <w:tcW w:w="7655" w:type="dxa"/>
          </w:tcPr>
          <w:p w14:paraId="45072C9E"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General Plan of San Gabriel</w:t>
            </w:r>
          </w:p>
        </w:tc>
      </w:tr>
      <w:tr w:rsidR="00B65FE5" w:rsidRPr="0050622D" w14:paraId="534E90FD" w14:textId="77777777" w:rsidTr="18E55A4C">
        <w:trPr>
          <w:trHeight w:val="288"/>
        </w:trPr>
        <w:tc>
          <w:tcPr>
            <w:tcW w:w="2263" w:type="dxa"/>
            <w:noWrap/>
            <w:hideMark/>
          </w:tcPr>
          <w:p w14:paraId="37207A36"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Santa Clarita</w:t>
            </w:r>
          </w:p>
        </w:tc>
        <w:tc>
          <w:tcPr>
            <w:tcW w:w="7655" w:type="dxa"/>
          </w:tcPr>
          <w:p w14:paraId="73FD3105"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Santa Clarita General Plan</w:t>
            </w:r>
          </w:p>
        </w:tc>
      </w:tr>
      <w:tr w:rsidR="00B65FE5" w:rsidRPr="0050622D" w14:paraId="7ACD7F71" w14:textId="77777777" w:rsidTr="18E55A4C">
        <w:trPr>
          <w:trHeight w:val="288"/>
        </w:trPr>
        <w:tc>
          <w:tcPr>
            <w:tcW w:w="2263" w:type="dxa"/>
            <w:noWrap/>
            <w:hideMark/>
          </w:tcPr>
          <w:p w14:paraId="081D23A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Santa Fe Springs</w:t>
            </w:r>
          </w:p>
        </w:tc>
        <w:tc>
          <w:tcPr>
            <w:tcW w:w="7655" w:type="dxa"/>
          </w:tcPr>
          <w:p w14:paraId="60ECE301"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Santa Fe Springs 2040 General Plan </w:t>
            </w:r>
          </w:p>
        </w:tc>
      </w:tr>
      <w:tr w:rsidR="00B65FE5" w:rsidRPr="0050622D" w14:paraId="5BF7A5EB" w14:textId="77777777" w:rsidTr="18E55A4C">
        <w:trPr>
          <w:trHeight w:val="288"/>
        </w:trPr>
        <w:tc>
          <w:tcPr>
            <w:tcW w:w="2263" w:type="dxa"/>
            <w:noWrap/>
            <w:hideMark/>
          </w:tcPr>
          <w:p w14:paraId="389F0956"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Santa Monica</w:t>
            </w:r>
          </w:p>
        </w:tc>
        <w:tc>
          <w:tcPr>
            <w:tcW w:w="7655" w:type="dxa"/>
          </w:tcPr>
          <w:p w14:paraId="483608AD"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Santa Monica Sustainable City Plan</w:t>
            </w:r>
          </w:p>
        </w:tc>
      </w:tr>
      <w:tr w:rsidR="00B65FE5" w:rsidRPr="0050622D" w14:paraId="5BAC7D50" w14:textId="77777777" w:rsidTr="18E55A4C">
        <w:trPr>
          <w:trHeight w:val="288"/>
        </w:trPr>
        <w:tc>
          <w:tcPr>
            <w:tcW w:w="2263" w:type="dxa"/>
            <w:noWrap/>
            <w:hideMark/>
          </w:tcPr>
          <w:p w14:paraId="46A516BE"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Sierra Madre</w:t>
            </w:r>
          </w:p>
        </w:tc>
        <w:tc>
          <w:tcPr>
            <w:tcW w:w="7655" w:type="dxa"/>
          </w:tcPr>
          <w:p w14:paraId="46663FDB"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General Plan Sierra Madre</w:t>
            </w:r>
          </w:p>
        </w:tc>
      </w:tr>
      <w:tr w:rsidR="00B65FE5" w:rsidRPr="0050622D" w14:paraId="25E6455E" w14:textId="77777777" w:rsidTr="18E55A4C">
        <w:trPr>
          <w:trHeight w:val="288"/>
        </w:trPr>
        <w:tc>
          <w:tcPr>
            <w:tcW w:w="2263" w:type="dxa"/>
            <w:noWrap/>
            <w:hideMark/>
          </w:tcPr>
          <w:p w14:paraId="03504E38"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South El Monte</w:t>
            </w:r>
          </w:p>
        </w:tc>
        <w:tc>
          <w:tcPr>
            <w:tcW w:w="7655" w:type="dxa"/>
          </w:tcPr>
          <w:p w14:paraId="3AD559E4"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South El Monte General Plan</w:t>
            </w:r>
          </w:p>
        </w:tc>
      </w:tr>
      <w:tr w:rsidR="00B65FE5" w:rsidRPr="0050622D" w14:paraId="3653A96D" w14:textId="77777777" w:rsidTr="18E55A4C">
        <w:trPr>
          <w:trHeight w:val="288"/>
        </w:trPr>
        <w:tc>
          <w:tcPr>
            <w:tcW w:w="2263" w:type="dxa"/>
            <w:noWrap/>
            <w:hideMark/>
          </w:tcPr>
          <w:p w14:paraId="0DFFE0D9"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South Gate</w:t>
            </w:r>
          </w:p>
        </w:tc>
        <w:tc>
          <w:tcPr>
            <w:tcW w:w="7655" w:type="dxa"/>
          </w:tcPr>
          <w:p w14:paraId="2C619310"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South Gate General Plan 2035</w:t>
            </w:r>
          </w:p>
        </w:tc>
      </w:tr>
      <w:tr w:rsidR="00B65FE5" w:rsidRPr="0050622D" w14:paraId="69AE8C5D" w14:textId="77777777" w:rsidTr="18E55A4C">
        <w:trPr>
          <w:trHeight w:val="288"/>
        </w:trPr>
        <w:tc>
          <w:tcPr>
            <w:tcW w:w="2263" w:type="dxa"/>
            <w:noWrap/>
            <w:hideMark/>
          </w:tcPr>
          <w:p w14:paraId="4297818E"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Temple City</w:t>
            </w:r>
          </w:p>
        </w:tc>
        <w:tc>
          <w:tcPr>
            <w:tcW w:w="7655" w:type="dxa"/>
          </w:tcPr>
          <w:p w14:paraId="4951FEF3"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Temple City General Plan</w:t>
            </w:r>
          </w:p>
        </w:tc>
      </w:tr>
      <w:tr w:rsidR="00B65FE5" w:rsidRPr="0050622D" w14:paraId="6428C444" w14:textId="77777777" w:rsidTr="18E55A4C">
        <w:trPr>
          <w:trHeight w:val="288"/>
        </w:trPr>
        <w:tc>
          <w:tcPr>
            <w:tcW w:w="2263" w:type="dxa"/>
            <w:noWrap/>
            <w:hideMark/>
          </w:tcPr>
          <w:p w14:paraId="684BAEB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Torrance</w:t>
            </w:r>
          </w:p>
        </w:tc>
        <w:tc>
          <w:tcPr>
            <w:tcW w:w="7655" w:type="dxa"/>
          </w:tcPr>
          <w:p w14:paraId="3A798D26"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Torrance General Plan</w:t>
            </w:r>
          </w:p>
        </w:tc>
      </w:tr>
      <w:tr w:rsidR="00B65FE5" w:rsidRPr="0050622D" w14:paraId="641B69CF" w14:textId="77777777" w:rsidTr="18E55A4C">
        <w:trPr>
          <w:trHeight w:val="288"/>
        </w:trPr>
        <w:tc>
          <w:tcPr>
            <w:tcW w:w="2263" w:type="dxa"/>
            <w:noWrap/>
            <w:hideMark/>
          </w:tcPr>
          <w:p w14:paraId="0AFE604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Vernon</w:t>
            </w:r>
          </w:p>
        </w:tc>
        <w:tc>
          <w:tcPr>
            <w:tcW w:w="7655" w:type="dxa"/>
          </w:tcPr>
          <w:p w14:paraId="5BBFB1F8"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Vernon General Plan</w:t>
            </w:r>
          </w:p>
        </w:tc>
      </w:tr>
      <w:tr w:rsidR="00B65FE5" w:rsidRPr="0050622D" w14:paraId="51E58B96" w14:textId="77777777" w:rsidTr="18E55A4C">
        <w:trPr>
          <w:trHeight w:val="288"/>
        </w:trPr>
        <w:tc>
          <w:tcPr>
            <w:tcW w:w="2263" w:type="dxa"/>
            <w:noWrap/>
            <w:hideMark/>
          </w:tcPr>
          <w:p w14:paraId="0AB70790"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Walnut</w:t>
            </w:r>
          </w:p>
        </w:tc>
        <w:tc>
          <w:tcPr>
            <w:tcW w:w="7655" w:type="dxa"/>
          </w:tcPr>
          <w:p w14:paraId="2AA9DF3A"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Walnut General Plan</w:t>
            </w:r>
          </w:p>
        </w:tc>
      </w:tr>
      <w:tr w:rsidR="00B65FE5" w:rsidRPr="0050622D" w14:paraId="43545304" w14:textId="77777777" w:rsidTr="18E55A4C">
        <w:trPr>
          <w:trHeight w:val="288"/>
        </w:trPr>
        <w:tc>
          <w:tcPr>
            <w:tcW w:w="2263" w:type="dxa"/>
            <w:noWrap/>
            <w:hideMark/>
          </w:tcPr>
          <w:p w14:paraId="6E28D953"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lastRenderedPageBreak/>
              <w:t>West Hollywood</w:t>
            </w:r>
          </w:p>
        </w:tc>
        <w:tc>
          <w:tcPr>
            <w:tcW w:w="7655" w:type="dxa"/>
          </w:tcPr>
          <w:p w14:paraId="30262B35"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The West Hollywood General Plan 2035</w:t>
            </w:r>
          </w:p>
        </w:tc>
      </w:tr>
      <w:tr w:rsidR="00B65FE5" w:rsidRPr="0050622D" w14:paraId="33AD8F9E" w14:textId="77777777" w:rsidTr="18E55A4C">
        <w:trPr>
          <w:trHeight w:val="288"/>
        </w:trPr>
        <w:tc>
          <w:tcPr>
            <w:tcW w:w="2263" w:type="dxa"/>
            <w:noWrap/>
            <w:hideMark/>
          </w:tcPr>
          <w:p w14:paraId="1501943A"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Westlake Village</w:t>
            </w:r>
          </w:p>
        </w:tc>
        <w:tc>
          <w:tcPr>
            <w:tcW w:w="7655" w:type="dxa"/>
          </w:tcPr>
          <w:p w14:paraId="78A02B64"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Westlake Village General Plan</w:t>
            </w:r>
          </w:p>
        </w:tc>
      </w:tr>
      <w:tr w:rsidR="00B65FE5" w:rsidRPr="0050622D" w14:paraId="7EC5B503" w14:textId="77777777" w:rsidTr="18E55A4C">
        <w:trPr>
          <w:trHeight w:val="288"/>
        </w:trPr>
        <w:tc>
          <w:tcPr>
            <w:tcW w:w="2263" w:type="dxa"/>
            <w:noWrap/>
            <w:hideMark/>
          </w:tcPr>
          <w:p w14:paraId="246B76A5" w14:textId="77777777" w:rsidR="00B65FE5" w:rsidRPr="0050622D" w:rsidRDefault="00B65FE5" w:rsidP="00353979">
            <w:pPr>
              <w:spacing w:line="240" w:lineRule="auto"/>
              <w:rPr>
                <w:rFonts w:ascii="Calibri" w:eastAsia="Times New Roman" w:hAnsi="Calibri" w:cs="Calibri"/>
                <w:color w:val="000000"/>
                <w:kern w:val="0"/>
                <w:sz w:val="20"/>
                <w:szCs w:val="20"/>
                <w14:ligatures w14:val="none"/>
              </w:rPr>
            </w:pPr>
            <w:r w:rsidRPr="0050622D">
              <w:rPr>
                <w:rFonts w:ascii="Calibri" w:eastAsia="Times New Roman" w:hAnsi="Calibri" w:cs="Calibri"/>
                <w:color w:val="000000"/>
                <w:kern w:val="0"/>
                <w:sz w:val="20"/>
                <w:szCs w:val="20"/>
                <w14:ligatures w14:val="none"/>
              </w:rPr>
              <w:t>Whittier</w:t>
            </w:r>
          </w:p>
        </w:tc>
        <w:tc>
          <w:tcPr>
            <w:tcW w:w="7655" w:type="dxa"/>
          </w:tcPr>
          <w:p w14:paraId="49B34E0A" w14:textId="77777777" w:rsidR="00B65FE5" w:rsidRPr="0050622D" w:rsidRDefault="00B65FE5" w:rsidP="00353979">
            <w:pPr>
              <w:spacing w:line="278" w:lineRule="auto"/>
              <w:rPr>
                <w:rFonts w:ascii="Times New Roman" w:eastAsia="Times New Roman" w:hAnsi="Times New Roman" w:cs="Times New Roman"/>
                <w:kern w:val="0"/>
                <w:sz w:val="20"/>
                <w:szCs w:val="20"/>
                <w14:ligatures w14:val="none"/>
              </w:rPr>
            </w:pPr>
            <w:r w:rsidRPr="0050622D">
              <w:rPr>
                <w:rFonts w:ascii="Aptos Narrow" w:hAnsi="Aptos Narrow"/>
                <w:color w:val="467886"/>
                <w:u w:val="single"/>
              </w:rPr>
              <w:t xml:space="preserve"> Whittier Envision Whittier General Plan</w:t>
            </w:r>
          </w:p>
        </w:tc>
      </w:tr>
    </w:tbl>
    <w:p w14:paraId="1D14BC43" w14:textId="5A5D7AB2" w:rsidR="177858A2" w:rsidRPr="00174EF2" w:rsidRDefault="177858A2" w:rsidP="00174EF2">
      <w:pPr>
        <w:keepNext/>
        <w:keepLines/>
        <w:spacing w:before="160" w:after="80"/>
        <w:rPr>
          <w:lang w:val="en-CA"/>
        </w:rPr>
      </w:pPr>
    </w:p>
    <w:sectPr w:rsidR="177858A2" w:rsidRPr="00174EF2" w:rsidSect="00820ED4">
      <w:headerReference w:type="first" r:id="rId83"/>
      <w:footerReference w:type="first" r:id="rId8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41D7D" w14:textId="77777777" w:rsidR="00CC5C59" w:rsidRDefault="00CC5C59" w:rsidP="00781DEE">
      <w:r>
        <w:separator/>
      </w:r>
    </w:p>
  </w:endnote>
  <w:endnote w:type="continuationSeparator" w:id="0">
    <w:p w14:paraId="0168EB61" w14:textId="77777777" w:rsidR="00CC5C59" w:rsidRDefault="00CC5C59" w:rsidP="00781DEE">
      <w:r>
        <w:continuationSeparator/>
      </w:r>
    </w:p>
  </w:endnote>
  <w:endnote w:type="continuationNotice" w:id="1">
    <w:p w14:paraId="62A6E63E" w14:textId="77777777" w:rsidR="00CC5C59" w:rsidRDefault="00CC5C59" w:rsidP="00781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Light">
    <w:altName w:val="Arial"/>
    <w:panose1 w:val="020B0403030403020204"/>
    <w:charset w:val="00"/>
    <w:family w:val="swiss"/>
    <w:pitch w:val="variable"/>
    <w:sig w:usb0="600002F7" w:usb1="02000001"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AppleSystemUIFon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ource Sans Pro">
    <w:panose1 w:val="020B0503030403020204"/>
    <w:charset w:val="00"/>
    <w:family w:val="swiss"/>
    <w:pitch w:val="variable"/>
    <w:sig w:usb0="600002F7" w:usb1="02000001"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483186"/>
      <w:docPartObj>
        <w:docPartGallery w:val="Page Numbers (Bottom of Page)"/>
        <w:docPartUnique/>
      </w:docPartObj>
    </w:sdtPr>
    <w:sdtEndPr>
      <w:rPr>
        <w:noProof/>
      </w:rPr>
    </w:sdtEndPr>
    <w:sdtContent>
      <w:p w14:paraId="003AEB60" w14:textId="77777777" w:rsidR="00EA3FAC" w:rsidRDefault="00051FE9" w:rsidP="00F511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288C03D0" w14:textId="77777777" w:rsidTr="177858A2">
      <w:trPr>
        <w:trHeight w:val="300"/>
      </w:trPr>
      <w:tc>
        <w:tcPr>
          <w:tcW w:w="3360" w:type="dxa"/>
        </w:tcPr>
        <w:p w14:paraId="11BC7844" w14:textId="1ECBC250" w:rsidR="177858A2" w:rsidRDefault="177858A2" w:rsidP="177858A2">
          <w:pPr>
            <w:pStyle w:val="Header"/>
            <w:ind w:left="-115"/>
          </w:pPr>
        </w:p>
      </w:tc>
      <w:tc>
        <w:tcPr>
          <w:tcW w:w="3360" w:type="dxa"/>
        </w:tcPr>
        <w:p w14:paraId="2009C38D" w14:textId="113FA994" w:rsidR="177858A2" w:rsidRDefault="177858A2" w:rsidP="177858A2">
          <w:pPr>
            <w:pStyle w:val="Header"/>
            <w:jc w:val="center"/>
          </w:pPr>
        </w:p>
      </w:tc>
      <w:tc>
        <w:tcPr>
          <w:tcW w:w="3360" w:type="dxa"/>
        </w:tcPr>
        <w:p w14:paraId="42784FFB" w14:textId="281F3789" w:rsidR="177858A2" w:rsidRDefault="177858A2" w:rsidP="177858A2">
          <w:pPr>
            <w:pStyle w:val="Header"/>
            <w:ind w:right="-115"/>
            <w:jc w:val="right"/>
          </w:pPr>
        </w:p>
      </w:tc>
    </w:tr>
  </w:tbl>
  <w:p w14:paraId="0EF25E78" w14:textId="09C4693C" w:rsidR="177858A2" w:rsidRDefault="177858A2" w:rsidP="17785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21391AB4" w14:textId="77777777" w:rsidTr="00011BF5">
      <w:trPr>
        <w:trHeight w:val="300"/>
      </w:trPr>
      <w:tc>
        <w:tcPr>
          <w:tcW w:w="3360" w:type="dxa"/>
        </w:tcPr>
        <w:p w14:paraId="6D49638A" w14:textId="5583F134" w:rsidR="177858A2" w:rsidRDefault="177858A2" w:rsidP="00011BF5">
          <w:pPr>
            <w:pStyle w:val="Header"/>
            <w:ind w:left="-115"/>
          </w:pPr>
        </w:p>
      </w:tc>
      <w:tc>
        <w:tcPr>
          <w:tcW w:w="3360" w:type="dxa"/>
        </w:tcPr>
        <w:p w14:paraId="26687B6A" w14:textId="013BEFC4" w:rsidR="177858A2" w:rsidRDefault="177858A2" w:rsidP="00011BF5">
          <w:pPr>
            <w:pStyle w:val="Header"/>
            <w:jc w:val="center"/>
          </w:pPr>
        </w:p>
      </w:tc>
      <w:tc>
        <w:tcPr>
          <w:tcW w:w="3360" w:type="dxa"/>
        </w:tcPr>
        <w:p w14:paraId="376843F9" w14:textId="76610216" w:rsidR="177858A2" w:rsidRDefault="177858A2" w:rsidP="00011BF5">
          <w:pPr>
            <w:pStyle w:val="Header"/>
            <w:ind w:right="-115"/>
            <w:jc w:val="right"/>
          </w:pPr>
        </w:p>
      </w:tc>
    </w:tr>
  </w:tbl>
  <w:p w14:paraId="55CE8CF4" w14:textId="0CF8FB02" w:rsidR="177858A2" w:rsidRDefault="177858A2" w:rsidP="00011B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1CB21BF2" w14:textId="77777777" w:rsidTr="00011BF5">
      <w:trPr>
        <w:trHeight w:val="300"/>
      </w:trPr>
      <w:tc>
        <w:tcPr>
          <w:tcW w:w="3360" w:type="dxa"/>
        </w:tcPr>
        <w:p w14:paraId="31739338" w14:textId="61DF4B98" w:rsidR="177858A2" w:rsidRDefault="177858A2" w:rsidP="00011BF5">
          <w:pPr>
            <w:pStyle w:val="Header"/>
            <w:ind w:left="-115"/>
          </w:pPr>
        </w:p>
      </w:tc>
      <w:tc>
        <w:tcPr>
          <w:tcW w:w="3360" w:type="dxa"/>
        </w:tcPr>
        <w:p w14:paraId="0AF9012E" w14:textId="6BE46E39" w:rsidR="177858A2" w:rsidRDefault="177858A2" w:rsidP="00011BF5">
          <w:pPr>
            <w:pStyle w:val="Header"/>
            <w:jc w:val="center"/>
          </w:pPr>
        </w:p>
      </w:tc>
      <w:tc>
        <w:tcPr>
          <w:tcW w:w="3360" w:type="dxa"/>
        </w:tcPr>
        <w:p w14:paraId="346C4B1D" w14:textId="47724444" w:rsidR="177858A2" w:rsidRDefault="177858A2" w:rsidP="00011BF5">
          <w:pPr>
            <w:pStyle w:val="Header"/>
            <w:ind w:right="-115"/>
            <w:jc w:val="right"/>
          </w:pPr>
        </w:p>
      </w:tc>
    </w:tr>
  </w:tbl>
  <w:p w14:paraId="69F17FF0" w14:textId="702B78CC" w:rsidR="177858A2" w:rsidRDefault="177858A2" w:rsidP="00011B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41BB3A73" w14:textId="77777777" w:rsidTr="00011BF5">
      <w:trPr>
        <w:trHeight w:val="300"/>
      </w:trPr>
      <w:tc>
        <w:tcPr>
          <w:tcW w:w="3360" w:type="dxa"/>
        </w:tcPr>
        <w:p w14:paraId="4FD621C7" w14:textId="57F634B3" w:rsidR="177858A2" w:rsidRDefault="177858A2" w:rsidP="00011BF5">
          <w:pPr>
            <w:pStyle w:val="Header"/>
            <w:ind w:left="-115"/>
          </w:pPr>
        </w:p>
      </w:tc>
      <w:tc>
        <w:tcPr>
          <w:tcW w:w="3360" w:type="dxa"/>
        </w:tcPr>
        <w:p w14:paraId="1A202F6F" w14:textId="03189FC8" w:rsidR="177858A2" w:rsidRDefault="177858A2" w:rsidP="00011BF5">
          <w:pPr>
            <w:pStyle w:val="Header"/>
            <w:jc w:val="center"/>
          </w:pPr>
        </w:p>
      </w:tc>
      <w:tc>
        <w:tcPr>
          <w:tcW w:w="3360" w:type="dxa"/>
        </w:tcPr>
        <w:p w14:paraId="198F481C" w14:textId="5DE6EBA2" w:rsidR="177858A2" w:rsidRDefault="177858A2" w:rsidP="00011BF5">
          <w:pPr>
            <w:pStyle w:val="Header"/>
            <w:ind w:right="-115"/>
            <w:jc w:val="right"/>
          </w:pPr>
        </w:p>
      </w:tc>
    </w:tr>
  </w:tbl>
  <w:p w14:paraId="4BAA30F2" w14:textId="6096CF8B" w:rsidR="177858A2" w:rsidRDefault="177858A2" w:rsidP="00011B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1F82567F" w14:textId="77777777" w:rsidTr="00011BF5">
      <w:trPr>
        <w:trHeight w:val="300"/>
      </w:trPr>
      <w:tc>
        <w:tcPr>
          <w:tcW w:w="3360" w:type="dxa"/>
        </w:tcPr>
        <w:p w14:paraId="52B2BC9B" w14:textId="04DC0C94" w:rsidR="177858A2" w:rsidRDefault="177858A2" w:rsidP="00011BF5">
          <w:pPr>
            <w:pStyle w:val="Header"/>
            <w:ind w:left="-115"/>
          </w:pPr>
        </w:p>
      </w:tc>
      <w:tc>
        <w:tcPr>
          <w:tcW w:w="3360" w:type="dxa"/>
        </w:tcPr>
        <w:p w14:paraId="3ADB673E" w14:textId="2E6F8169" w:rsidR="177858A2" w:rsidRDefault="177858A2" w:rsidP="00011BF5">
          <w:pPr>
            <w:pStyle w:val="Header"/>
            <w:jc w:val="center"/>
          </w:pPr>
        </w:p>
      </w:tc>
      <w:tc>
        <w:tcPr>
          <w:tcW w:w="3360" w:type="dxa"/>
        </w:tcPr>
        <w:p w14:paraId="7FE4527F" w14:textId="781F1E07" w:rsidR="177858A2" w:rsidRDefault="177858A2" w:rsidP="00011BF5">
          <w:pPr>
            <w:pStyle w:val="Header"/>
            <w:ind w:right="-115"/>
            <w:jc w:val="right"/>
          </w:pPr>
        </w:p>
      </w:tc>
    </w:tr>
  </w:tbl>
  <w:p w14:paraId="05FD059F" w14:textId="2E043633" w:rsidR="177858A2" w:rsidRDefault="177858A2" w:rsidP="00011B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6C21A44E" w14:textId="77777777" w:rsidTr="00011BF5">
      <w:trPr>
        <w:trHeight w:val="300"/>
      </w:trPr>
      <w:tc>
        <w:tcPr>
          <w:tcW w:w="3360" w:type="dxa"/>
        </w:tcPr>
        <w:p w14:paraId="76ED4053" w14:textId="475902BB" w:rsidR="177858A2" w:rsidRDefault="177858A2" w:rsidP="00011BF5">
          <w:pPr>
            <w:pStyle w:val="Header"/>
            <w:ind w:left="-115"/>
          </w:pPr>
        </w:p>
      </w:tc>
      <w:tc>
        <w:tcPr>
          <w:tcW w:w="3360" w:type="dxa"/>
        </w:tcPr>
        <w:p w14:paraId="0CC6DCFE" w14:textId="135DD556" w:rsidR="177858A2" w:rsidRDefault="177858A2" w:rsidP="00011BF5">
          <w:pPr>
            <w:pStyle w:val="Header"/>
            <w:jc w:val="center"/>
          </w:pPr>
        </w:p>
      </w:tc>
      <w:tc>
        <w:tcPr>
          <w:tcW w:w="3360" w:type="dxa"/>
        </w:tcPr>
        <w:p w14:paraId="1F0D1D94" w14:textId="6C5E036A" w:rsidR="177858A2" w:rsidRDefault="177858A2" w:rsidP="00011BF5">
          <w:pPr>
            <w:pStyle w:val="Header"/>
            <w:ind w:right="-115"/>
            <w:jc w:val="right"/>
          </w:pPr>
        </w:p>
      </w:tc>
    </w:tr>
  </w:tbl>
  <w:p w14:paraId="49511CAC" w14:textId="68D2D5A5" w:rsidR="177858A2" w:rsidRDefault="177858A2" w:rsidP="00011B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0326B547" w14:textId="77777777" w:rsidTr="00011BF5">
      <w:trPr>
        <w:trHeight w:val="300"/>
      </w:trPr>
      <w:tc>
        <w:tcPr>
          <w:tcW w:w="3360" w:type="dxa"/>
        </w:tcPr>
        <w:p w14:paraId="7352216F" w14:textId="3B756C96" w:rsidR="177858A2" w:rsidRDefault="177858A2" w:rsidP="00011BF5">
          <w:pPr>
            <w:pStyle w:val="Header"/>
            <w:ind w:left="-115"/>
          </w:pPr>
        </w:p>
      </w:tc>
      <w:tc>
        <w:tcPr>
          <w:tcW w:w="3360" w:type="dxa"/>
        </w:tcPr>
        <w:p w14:paraId="2DF5A4F9" w14:textId="43F4F70A" w:rsidR="177858A2" w:rsidRDefault="177858A2" w:rsidP="00011BF5">
          <w:pPr>
            <w:pStyle w:val="Header"/>
            <w:jc w:val="center"/>
          </w:pPr>
        </w:p>
      </w:tc>
      <w:tc>
        <w:tcPr>
          <w:tcW w:w="3360" w:type="dxa"/>
        </w:tcPr>
        <w:p w14:paraId="096553D5" w14:textId="115FC571" w:rsidR="177858A2" w:rsidRDefault="177858A2" w:rsidP="00011BF5">
          <w:pPr>
            <w:pStyle w:val="Header"/>
            <w:ind w:right="-115"/>
            <w:jc w:val="right"/>
          </w:pPr>
        </w:p>
      </w:tc>
    </w:tr>
  </w:tbl>
  <w:p w14:paraId="1969581C" w14:textId="3EE4BD44" w:rsidR="177858A2" w:rsidRDefault="177858A2" w:rsidP="00011B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00DB7DCC" w14:textId="77777777" w:rsidTr="00011BF5">
      <w:trPr>
        <w:trHeight w:val="300"/>
      </w:trPr>
      <w:tc>
        <w:tcPr>
          <w:tcW w:w="3360" w:type="dxa"/>
        </w:tcPr>
        <w:p w14:paraId="5C0509CE" w14:textId="1A3EE88E" w:rsidR="177858A2" w:rsidRDefault="177858A2" w:rsidP="00011BF5">
          <w:pPr>
            <w:pStyle w:val="Header"/>
            <w:ind w:left="-115"/>
          </w:pPr>
        </w:p>
      </w:tc>
      <w:tc>
        <w:tcPr>
          <w:tcW w:w="3360" w:type="dxa"/>
        </w:tcPr>
        <w:p w14:paraId="1B2F08D4" w14:textId="116C9FC6" w:rsidR="177858A2" w:rsidRDefault="177858A2" w:rsidP="00011BF5">
          <w:pPr>
            <w:pStyle w:val="Header"/>
            <w:jc w:val="center"/>
          </w:pPr>
        </w:p>
      </w:tc>
      <w:tc>
        <w:tcPr>
          <w:tcW w:w="3360" w:type="dxa"/>
        </w:tcPr>
        <w:p w14:paraId="2F0656B3" w14:textId="74017978" w:rsidR="177858A2" w:rsidRDefault="177858A2" w:rsidP="00011BF5">
          <w:pPr>
            <w:pStyle w:val="Header"/>
            <w:ind w:right="-115"/>
            <w:jc w:val="right"/>
          </w:pPr>
        </w:p>
      </w:tc>
    </w:tr>
  </w:tbl>
  <w:p w14:paraId="7B61065F" w14:textId="2CB463EE" w:rsidR="177858A2" w:rsidRDefault="177858A2" w:rsidP="00011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F8C25" w14:textId="77777777" w:rsidR="00CC5C59" w:rsidRDefault="00CC5C59" w:rsidP="00781DEE">
      <w:r>
        <w:separator/>
      </w:r>
    </w:p>
  </w:footnote>
  <w:footnote w:type="continuationSeparator" w:id="0">
    <w:p w14:paraId="06F0C49E" w14:textId="77777777" w:rsidR="00CC5C59" w:rsidRDefault="00CC5C59" w:rsidP="00781DEE">
      <w:r>
        <w:continuationSeparator/>
      </w:r>
    </w:p>
  </w:footnote>
  <w:footnote w:type="continuationNotice" w:id="1">
    <w:p w14:paraId="4D072B2F" w14:textId="77777777" w:rsidR="00CC5C59" w:rsidRDefault="00CC5C59" w:rsidP="00781D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E6081" w14:textId="1E8C0B64" w:rsidR="00274256" w:rsidRPr="00274256" w:rsidRDefault="177858A2">
    <w:pPr>
      <w:pStyle w:val="Header"/>
      <w:rPr>
        <w:b/>
        <w:bCs/>
      </w:rPr>
    </w:pPr>
    <w:r w:rsidRPr="177858A2">
      <w:rPr>
        <w:b/>
        <w:bCs/>
        <w:color w:val="C00000"/>
      </w:rPr>
      <w:t>Phase 2 Draft:</w:t>
    </w:r>
    <w:r>
      <w:t xml:space="preserve"> Resilience and sustainability scorecard | </w:t>
    </w:r>
    <w:r w:rsidR="00274256">
      <w:rPr>
        <w:b/>
        <w:bCs/>
      </w:rPr>
      <w:t>Los Angeles County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17752A07" w14:textId="77777777" w:rsidTr="177858A2">
      <w:trPr>
        <w:trHeight w:val="300"/>
      </w:trPr>
      <w:tc>
        <w:tcPr>
          <w:tcW w:w="3360" w:type="dxa"/>
        </w:tcPr>
        <w:p w14:paraId="6E635511" w14:textId="6097DC33" w:rsidR="177858A2" w:rsidRDefault="177858A2" w:rsidP="177858A2">
          <w:pPr>
            <w:pStyle w:val="Header"/>
            <w:ind w:left="-115"/>
          </w:pPr>
        </w:p>
      </w:tc>
      <w:tc>
        <w:tcPr>
          <w:tcW w:w="3360" w:type="dxa"/>
        </w:tcPr>
        <w:p w14:paraId="16E216EE" w14:textId="42F9FAA9" w:rsidR="177858A2" w:rsidRDefault="177858A2" w:rsidP="177858A2">
          <w:pPr>
            <w:pStyle w:val="Header"/>
            <w:jc w:val="center"/>
          </w:pPr>
        </w:p>
      </w:tc>
      <w:tc>
        <w:tcPr>
          <w:tcW w:w="3360" w:type="dxa"/>
        </w:tcPr>
        <w:p w14:paraId="4331F963" w14:textId="27228BA9" w:rsidR="177858A2" w:rsidRDefault="177858A2" w:rsidP="177858A2">
          <w:pPr>
            <w:pStyle w:val="Header"/>
            <w:ind w:right="-115"/>
            <w:jc w:val="right"/>
          </w:pPr>
        </w:p>
      </w:tc>
    </w:tr>
  </w:tbl>
  <w:p w14:paraId="7E22DFCB" w14:textId="580D0989" w:rsidR="177858A2" w:rsidRDefault="177858A2" w:rsidP="17785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28D26DC6" w14:textId="77777777" w:rsidTr="00011BF5">
      <w:trPr>
        <w:trHeight w:val="300"/>
      </w:trPr>
      <w:tc>
        <w:tcPr>
          <w:tcW w:w="3360" w:type="dxa"/>
        </w:tcPr>
        <w:p w14:paraId="5ADF4B60" w14:textId="3BDFE994" w:rsidR="177858A2" w:rsidRDefault="177858A2" w:rsidP="00011BF5">
          <w:pPr>
            <w:pStyle w:val="Header"/>
            <w:ind w:left="-115"/>
          </w:pPr>
        </w:p>
      </w:tc>
      <w:tc>
        <w:tcPr>
          <w:tcW w:w="3360" w:type="dxa"/>
        </w:tcPr>
        <w:p w14:paraId="2139A592" w14:textId="41599067" w:rsidR="177858A2" w:rsidRDefault="177858A2" w:rsidP="00011BF5">
          <w:pPr>
            <w:pStyle w:val="Header"/>
            <w:jc w:val="center"/>
          </w:pPr>
        </w:p>
      </w:tc>
      <w:tc>
        <w:tcPr>
          <w:tcW w:w="3360" w:type="dxa"/>
        </w:tcPr>
        <w:p w14:paraId="6615E49B" w14:textId="049ACF12" w:rsidR="177858A2" w:rsidRDefault="177858A2" w:rsidP="00011BF5">
          <w:pPr>
            <w:pStyle w:val="Header"/>
            <w:ind w:right="-115"/>
            <w:jc w:val="right"/>
          </w:pPr>
        </w:p>
      </w:tc>
    </w:tr>
  </w:tbl>
  <w:p w14:paraId="575ED1D6" w14:textId="71E5EF3F" w:rsidR="177858A2" w:rsidRDefault="177858A2" w:rsidP="00011B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34B10545" w14:textId="77777777" w:rsidTr="00011BF5">
      <w:trPr>
        <w:trHeight w:val="300"/>
      </w:trPr>
      <w:tc>
        <w:tcPr>
          <w:tcW w:w="3360" w:type="dxa"/>
        </w:tcPr>
        <w:p w14:paraId="66026E91" w14:textId="1403C38E" w:rsidR="177858A2" w:rsidRDefault="177858A2" w:rsidP="00011BF5">
          <w:pPr>
            <w:pStyle w:val="Header"/>
            <w:ind w:left="-115"/>
          </w:pPr>
        </w:p>
      </w:tc>
      <w:tc>
        <w:tcPr>
          <w:tcW w:w="3360" w:type="dxa"/>
        </w:tcPr>
        <w:p w14:paraId="6F96D716" w14:textId="621ABAFA" w:rsidR="177858A2" w:rsidRDefault="177858A2" w:rsidP="00011BF5">
          <w:pPr>
            <w:pStyle w:val="Header"/>
            <w:jc w:val="center"/>
          </w:pPr>
        </w:p>
      </w:tc>
      <w:tc>
        <w:tcPr>
          <w:tcW w:w="3360" w:type="dxa"/>
        </w:tcPr>
        <w:p w14:paraId="4D11A732" w14:textId="75B2D21D" w:rsidR="177858A2" w:rsidRDefault="177858A2" w:rsidP="00011BF5">
          <w:pPr>
            <w:pStyle w:val="Header"/>
            <w:ind w:right="-115"/>
            <w:jc w:val="right"/>
          </w:pPr>
        </w:p>
      </w:tc>
    </w:tr>
  </w:tbl>
  <w:p w14:paraId="24E3496E" w14:textId="5587392D" w:rsidR="177858A2" w:rsidRDefault="177858A2" w:rsidP="00011B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3C2AC3ED" w14:textId="77777777" w:rsidTr="00011BF5">
      <w:trPr>
        <w:trHeight w:val="300"/>
      </w:trPr>
      <w:tc>
        <w:tcPr>
          <w:tcW w:w="3360" w:type="dxa"/>
        </w:tcPr>
        <w:p w14:paraId="5EBCB1B0" w14:textId="73EFBA23" w:rsidR="177858A2" w:rsidRDefault="177858A2" w:rsidP="00011BF5">
          <w:pPr>
            <w:pStyle w:val="Header"/>
            <w:ind w:left="-115"/>
          </w:pPr>
        </w:p>
      </w:tc>
      <w:tc>
        <w:tcPr>
          <w:tcW w:w="3360" w:type="dxa"/>
        </w:tcPr>
        <w:p w14:paraId="25645A1D" w14:textId="4BD2EA6C" w:rsidR="177858A2" w:rsidRDefault="177858A2" w:rsidP="00011BF5">
          <w:pPr>
            <w:pStyle w:val="Header"/>
            <w:jc w:val="center"/>
          </w:pPr>
        </w:p>
      </w:tc>
      <w:tc>
        <w:tcPr>
          <w:tcW w:w="3360" w:type="dxa"/>
        </w:tcPr>
        <w:p w14:paraId="06DD4055" w14:textId="094905D2" w:rsidR="177858A2" w:rsidRDefault="177858A2" w:rsidP="00011BF5">
          <w:pPr>
            <w:pStyle w:val="Header"/>
            <w:ind w:right="-115"/>
            <w:jc w:val="right"/>
          </w:pPr>
        </w:p>
      </w:tc>
    </w:tr>
  </w:tbl>
  <w:p w14:paraId="07102588" w14:textId="159CA3BF" w:rsidR="177858A2" w:rsidRDefault="177858A2" w:rsidP="00011B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67D65FC0" w14:textId="77777777" w:rsidTr="00011BF5">
      <w:trPr>
        <w:trHeight w:val="300"/>
      </w:trPr>
      <w:tc>
        <w:tcPr>
          <w:tcW w:w="3360" w:type="dxa"/>
        </w:tcPr>
        <w:p w14:paraId="2FC21968" w14:textId="237BA9D7" w:rsidR="177858A2" w:rsidRDefault="177858A2" w:rsidP="00011BF5">
          <w:pPr>
            <w:pStyle w:val="Header"/>
            <w:ind w:left="-115"/>
          </w:pPr>
        </w:p>
      </w:tc>
      <w:tc>
        <w:tcPr>
          <w:tcW w:w="3360" w:type="dxa"/>
        </w:tcPr>
        <w:p w14:paraId="01E25C63" w14:textId="7B6CCED2" w:rsidR="177858A2" w:rsidRDefault="177858A2" w:rsidP="00011BF5">
          <w:pPr>
            <w:pStyle w:val="Header"/>
            <w:jc w:val="center"/>
          </w:pPr>
        </w:p>
      </w:tc>
      <w:tc>
        <w:tcPr>
          <w:tcW w:w="3360" w:type="dxa"/>
        </w:tcPr>
        <w:p w14:paraId="44DEE29D" w14:textId="3BC4031C" w:rsidR="177858A2" w:rsidRDefault="177858A2" w:rsidP="00011BF5">
          <w:pPr>
            <w:pStyle w:val="Header"/>
            <w:ind w:right="-115"/>
            <w:jc w:val="right"/>
          </w:pPr>
        </w:p>
      </w:tc>
    </w:tr>
  </w:tbl>
  <w:p w14:paraId="149D9169" w14:textId="204B4E60" w:rsidR="177858A2" w:rsidRDefault="177858A2" w:rsidP="00011B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3EEEC5EA" w14:textId="77777777" w:rsidTr="00011BF5">
      <w:trPr>
        <w:trHeight w:val="300"/>
      </w:trPr>
      <w:tc>
        <w:tcPr>
          <w:tcW w:w="3360" w:type="dxa"/>
        </w:tcPr>
        <w:p w14:paraId="75C9DE5D" w14:textId="1AB04BA3" w:rsidR="177858A2" w:rsidRDefault="177858A2" w:rsidP="00011BF5">
          <w:pPr>
            <w:pStyle w:val="Header"/>
            <w:ind w:left="-115"/>
          </w:pPr>
        </w:p>
      </w:tc>
      <w:tc>
        <w:tcPr>
          <w:tcW w:w="3360" w:type="dxa"/>
        </w:tcPr>
        <w:p w14:paraId="1C3D95ED" w14:textId="73C0B23F" w:rsidR="177858A2" w:rsidRDefault="177858A2" w:rsidP="00011BF5">
          <w:pPr>
            <w:pStyle w:val="Header"/>
            <w:jc w:val="center"/>
          </w:pPr>
        </w:p>
      </w:tc>
      <w:tc>
        <w:tcPr>
          <w:tcW w:w="3360" w:type="dxa"/>
        </w:tcPr>
        <w:p w14:paraId="6920FB7A" w14:textId="0F9B6483" w:rsidR="177858A2" w:rsidRDefault="177858A2" w:rsidP="00011BF5">
          <w:pPr>
            <w:pStyle w:val="Header"/>
            <w:ind w:right="-115"/>
            <w:jc w:val="right"/>
          </w:pPr>
        </w:p>
      </w:tc>
    </w:tr>
  </w:tbl>
  <w:p w14:paraId="393DBFEA" w14:textId="7865D006" w:rsidR="177858A2" w:rsidRDefault="177858A2" w:rsidP="00011B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6D9362D9" w14:textId="77777777" w:rsidTr="00011BF5">
      <w:trPr>
        <w:trHeight w:val="300"/>
      </w:trPr>
      <w:tc>
        <w:tcPr>
          <w:tcW w:w="3360" w:type="dxa"/>
        </w:tcPr>
        <w:p w14:paraId="0FB9C618" w14:textId="68F1CA15" w:rsidR="177858A2" w:rsidRDefault="177858A2" w:rsidP="00011BF5">
          <w:pPr>
            <w:pStyle w:val="Header"/>
            <w:ind w:left="-115"/>
          </w:pPr>
        </w:p>
      </w:tc>
      <w:tc>
        <w:tcPr>
          <w:tcW w:w="3360" w:type="dxa"/>
        </w:tcPr>
        <w:p w14:paraId="656E059A" w14:textId="11B59D69" w:rsidR="177858A2" w:rsidRDefault="177858A2" w:rsidP="00011BF5">
          <w:pPr>
            <w:pStyle w:val="Header"/>
            <w:jc w:val="center"/>
          </w:pPr>
        </w:p>
      </w:tc>
      <w:tc>
        <w:tcPr>
          <w:tcW w:w="3360" w:type="dxa"/>
        </w:tcPr>
        <w:p w14:paraId="055E4481" w14:textId="7CD8B15A" w:rsidR="177858A2" w:rsidRDefault="177858A2" w:rsidP="00011BF5">
          <w:pPr>
            <w:pStyle w:val="Header"/>
            <w:ind w:right="-115"/>
            <w:jc w:val="right"/>
          </w:pPr>
        </w:p>
      </w:tc>
    </w:tr>
  </w:tbl>
  <w:p w14:paraId="5875E166" w14:textId="67D47450" w:rsidR="177858A2" w:rsidRDefault="177858A2" w:rsidP="00011B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480C3538" w14:textId="77777777" w:rsidTr="00011BF5">
      <w:trPr>
        <w:trHeight w:val="300"/>
      </w:trPr>
      <w:tc>
        <w:tcPr>
          <w:tcW w:w="3360" w:type="dxa"/>
        </w:tcPr>
        <w:p w14:paraId="7414B8C5" w14:textId="3F5DCE07" w:rsidR="177858A2" w:rsidRDefault="177858A2" w:rsidP="00011BF5">
          <w:pPr>
            <w:pStyle w:val="Header"/>
            <w:ind w:left="-115"/>
          </w:pPr>
        </w:p>
      </w:tc>
      <w:tc>
        <w:tcPr>
          <w:tcW w:w="3360" w:type="dxa"/>
        </w:tcPr>
        <w:p w14:paraId="79DCEC4B" w14:textId="39862446" w:rsidR="177858A2" w:rsidRDefault="177858A2" w:rsidP="00011BF5">
          <w:pPr>
            <w:pStyle w:val="Header"/>
            <w:jc w:val="center"/>
          </w:pPr>
        </w:p>
      </w:tc>
      <w:tc>
        <w:tcPr>
          <w:tcW w:w="3360" w:type="dxa"/>
        </w:tcPr>
        <w:p w14:paraId="2A8854AF" w14:textId="2383D79B" w:rsidR="177858A2" w:rsidRDefault="177858A2" w:rsidP="00011BF5">
          <w:pPr>
            <w:pStyle w:val="Header"/>
            <w:ind w:right="-115"/>
            <w:jc w:val="right"/>
          </w:pPr>
        </w:p>
      </w:tc>
    </w:tr>
  </w:tbl>
  <w:p w14:paraId="40870594" w14:textId="5F508A6D" w:rsidR="177858A2" w:rsidRDefault="177858A2" w:rsidP="00011BF5">
    <w:pPr>
      <w:pStyle w:val="Header"/>
    </w:pPr>
  </w:p>
</w:hdr>
</file>

<file path=word/intelligence2.xml><?xml version="1.0" encoding="utf-8"?>
<int2:intelligence xmlns:int2="http://schemas.microsoft.com/office/intelligence/2020/intelligence" xmlns:oel="http://schemas.microsoft.com/office/2019/extlst">
  <int2:observations>
    <int2:textHash int2:hashCode="qFozzmjyswJiR9" int2:id="vtDwmWq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03E8"/>
    <w:multiLevelType w:val="hybridMultilevel"/>
    <w:tmpl w:val="21984782"/>
    <w:lvl w:ilvl="0" w:tplc="DDEA0B64">
      <w:start w:val="1"/>
      <w:numFmt w:val="bullet"/>
      <w:lvlText w:val=""/>
      <w:lvlJc w:val="left"/>
      <w:pPr>
        <w:ind w:left="720" w:hanging="360"/>
      </w:pPr>
      <w:rPr>
        <w:rFonts w:ascii="Symbol" w:hAnsi="Symbol" w:hint="default"/>
      </w:rPr>
    </w:lvl>
    <w:lvl w:ilvl="1" w:tplc="CDE42E6C">
      <w:start w:val="1"/>
      <w:numFmt w:val="bullet"/>
      <w:lvlText w:val="o"/>
      <w:lvlJc w:val="left"/>
      <w:pPr>
        <w:ind w:left="1440" w:hanging="360"/>
      </w:pPr>
      <w:rPr>
        <w:rFonts w:ascii="Courier New" w:hAnsi="Courier New" w:hint="default"/>
      </w:rPr>
    </w:lvl>
    <w:lvl w:ilvl="2" w:tplc="55DEA978">
      <w:start w:val="1"/>
      <w:numFmt w:val="bullet"/>
      <w:lvlText w:val=""/>
      <w:lvlJc w:val="left"/>
      <w:pPr>
        <w:ind w:left="2160" w:hanging="360"/>
      </w:pPr>
      <w:rPr>
        <w:rFonts w:ascii="Wingdings" w:hAnsi="Wingdings" w:hint="default"/>
      </w:rPr>
    </w:lvl>
    <w:lvl w:ilvl="3" w:tplc="EBBC511E">
      <w:start w:val="1"/>
      <w:numFmt w:val="bullet"/>
      <w:lvlText w:val=""/>
      <w:lvlJc w:val="left"/>
      <w:pPr>
        <w:ind w:left="2880" w:hanging="360"/>
      </w:pPr>
      <w:rPr>
        <w:rFonts w:ascii="Symbol" w:hAnsi="Symbol" w:hint="default"/>
      </w:rPr>
    </w:lvl>
    <w:lvl w:ilvl="4" w:tplc="4248286C">
      <w:start w:val="1"/>
      <w:numFmt w:val="bullet"/>
      <w:lvlText w:val="o"/>
      <w:lvlJc w:val="left"/>
      <w:pPr>
        <w:ind w:left="3600" w:hanging="360"/>
      </w:pPr>
      <w:rPr>
        <w:rFonts w:ascii="Courier New" w:hAnsi="Courier New" w:hint="default"/>
      </w:rPr>
    </w:lvl>
    <w:lvl w:ilvl="5" w:tplc="3AF2CC1E">
      <w:start w:val="1"/>
      <w:numFmt w:val="bullet"/>
      <w:lvlText w:val=""/>
      <w:lvlJc w:val="left"/>
      <w:pPr>
        <w:ind w:left="4320" w:hanging="360"/>
      </w:pPr>
      <w:rPr>
        <w:rFonts w:ascii="Wingdings" w:hAnsi="Wingdings" w:hint="default"/>
      </w:rPr>
    </w:lvl>
    <w:lvl w:ilvl="6" w:tplc="27F2CAA2">
      <w:start w:val="1"/>
      <w:numFmt w:val="bullet"/>
      <w:lvlText w:val=""/>
      <w:lvlJc w:val="left"/>
      <w:pPr>
        <w:ind w:left="5040" w:hanging="360"/>
      </w:pPr>
      <w:rPr>
        <w:rFonts w:ascii="Symbol" w:hAnsi="Symbol" w:hint="default"/>
      </w:rPr>
    </w:lvl>
    <w:lvl w:ilvl="7" w:tplc="2520ABA2">
      <w:start w:val="1"/>
      <w:numFmt w:val="bullet"/>
      <w:lvlText w:val="o"/>
      <w:lvlJc w:val="left"/>
      <w:pPr>
        <w:ind w:left="5760" w:hanging="360"/>
      </w:pPr>
      <w:rPr>
        <w:rFonts w:ascii="Courier New" w:hAnsi="Courier New" w:hint="default"/>
      </w:rPr>
    </w:lvl>
    <w:lvl w:ilvl="8" w:tplc="E446D140">
      <w:start w:val="1"/>
      <w:numFmt w:val="bullet"/>
      <w:lvlText w:val=""/>
      <w:lvlJc w:val="left"/>
      <w:pPr>
        <w:ind w:left="6480" w:hanging="360"/>
      </w:pPr>
      <w:rPr>
        <w:rFonts w:ascii="Wingdings" w:hAnsi="Wingdings" w:hint="default"/>
      </w:rPr>
    </w:lvl>
  </w:abstractNum>
  <w:abstractNum w:abstractNumId="1" w15:restartNumberingAfterBreak="0">
    <w:nsid w:val="03336AD9"/>
    <w:multiLevelType w:val="hybridMultilevel"/>
    <w:tmpl w:val="8B1EA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5305A"/>
    <w:multiLevelType w:val="hybridMultilevel"/>
    <w:tmpl w:val="FD126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C7727"/>
    <w:multiLevelType w:val="hybridMultilevel"/>
    <w:tmpl w:val="4CA843BC"/>
    <w:lvl w:ilvl="0" w:tplc="D5B03B0E">
      <w:start w:val="1"/>
      <w:numFmt w:val="decimal"/>
      <w:lvlText w:val="%1."/>
      <w:lvlJc w:val="left"/>
      <w:pPr>
        <w:ind w:left="720" w:hanging="360"/>
      </w:pPr>
    </w:lvl>
    <w:lvl w:ilvl="1" w:tplc="D1A665F8">
      <w:start w:val="1"/>
      <w:numFmt w:val="lowerLetter"/>
      <w:lvlText w:val="%2."/>
      <w:lvlJc w:val="left"/>
      <w:pPr>
        <w:ind w:left="1440" w:hanging="360"/>
      </w:pPr>
    </w:lvl>
    <w:lvl w:ilvl="2" w:tplc="463A861C">
      <w:start w:val="1"/>
      <w:numFmt w:val="lowerRoman"/>
      <w:lvlText w:val="%3."/>
      <w:lvlJc w:val="right"/>
      <w:pPr>
        <w:ind w:left="2160" w:hanging="180"/>
      </w:pPr>
    </w:lvl>
    <w:lvl w:ilvl="3" w:tplc="5F98A320">
      <w:start w:val="1"/>
      <w:numFmt w:val="decimal"/>
      <w:lvlText w:val="%4."/>
      <w:lvlJc w:val="left"/>
      <w:pPr>
        <w:ind w:left="2880" w:hanging="360"/>
      </w:pPr>
    </w:lvl>
    <w:lvl w:ilvl="4" w:tplc="B48619B4">
      <w:start w:val="1"/>
      <w:numFmt w:val="lowerLetter"/>
      <w:lvlText w:val="%5."/>
      <w:lvlJc w:val="left"/>
      <w:pPr>
        <w:ind w:left="3600" w:hanging="360"/>
      </w:pPr>
    </w:lvl>
    <w:lvl w:ilvl="5" w:tplc="97C87490">
      <w:start w:val="1"/>
      <w:numFmt w:val="lowerRoman"/>
      <w:lvlText w:val="%6."/>
      <w:lvlJc w:val="right"/>
      <w:pPr>
        <w:ind w:left="4320" w:hanging="180"/>
      </w:pPr>
    </w:lvl>
    <w:lvl w:ilvl="6" w:tplc="44A61482">
      <w:start w:val="1"/>
      <w:numFmt w:val="decimal"/>
      <w:lvlText w:val="%7."/>
      <w:lvlJc w:val="left"/>
      <w:pPr>
        <w:ind w:left="5040" w:hanging="360"/>
      </w:pPr>
    </w:lvl>
    <w:lvl w:ilvl="7" w:tplc="3B1ADF22">
      <w:start w:val="1"/>
      <w:numFmt w:val="lowerLetter"/>
      <w:lvlText w:val="%8."/>
      <w:lvlJc w:val="left"/>
      <w:pPr>
        <w:ind w:left="5760" w:hanging="360"/>
      </w:pPr>
    </w:lvl>
    <w:lvl w:ilvl="8" w:tplc="A5844E9A">
      <w:start w:val="1"/>
      <w:numFmt w:val="lowerRoman"/>
      <w:lvlText w:val="%9."/>
      <w:lvlJc w:val="right"/>
      <w:pPr>
        <w:ind w:left="6480" w:hanging="180"/>
      </w:pPr>
    </w:lvl>
  </w:abstractNum>
  <w:abstractNum w:abstractNumId="4" w15:restartNumberingAfterBreak="0">
    <w:nsid w:val="0E713217"/>
    <w:multiLevelType w:val="hybridMultilevel"/>
    <w:tmpl w:val="CFCC4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4023F"/>
    <w:multiLevelType w:val="hybridMultilevel"/>
    <w:tmpl w:val="9AA8A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385729"/>
    <w:multiLevelType w:val="multilevel"/>
    <w:tmpl w:val="185A9A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B9360F"/>
    <w:multiLevelType w:val="multilevel"/>
    <w:tmpl w:val="22686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AD1B8E7"/>
    <w:multiLevelType w:val="hybridMultilevel"/>
    <w:tmpl w:val="D996ECD2"/>
    <w:lvl w:ilvl="0" w:tplc="FB2452CA">
      <w:start w:val="1"/>
      <w:numFmt w:val="bullet"/>
      <w:lvlText w:val=""/>
      <w:lvlJc w:val="left"/>
      <w:pPr>
        <w:ind w:left="720" w:hanging="360"/>
      </w:pPr>
      <w:rPr>
        <w:rFonts w:ascii="Symbol" w:hAnsi="Symbol" w:hint="default"/>
      </w:rPr>
    </w:lvl>
    <w:lvl w:ilvl="1" w:tplc="82C2F428">
      <w:start w:val="1"/>
      <w:numFmt w:val="bullet"/>
      <w:lvlText w:val="o"/>
      <w:lvlJc w:val="left"/>
      <w:pPr>
        <w:ind w:left="1440" w:hanging="360"/>
      </w:pPr>
      <w:rPr>
        <w:rFonts w:ascii="Courier New" w:hAnsi="Courier New" w:hint="default"/>
      </w:rPr>
    </w:lvl>
    <w:lvl w:ilvl="2" w:tplc="5194F700">
      <w:start w:val="1"/>
      <w:numFmt w:val="bullet"/>
      <w:lvlText w:val=""/>
      <w:lvlJc w:val="left"/>
      <w:pPr>
        <w:ind w:left="2160" w:hanging="360"/>
      </w:pPr>
      <w:rPr>
        <w:rFonts w:ascii="Wingdings" w:hAnsi="Wingdings" w:hint="default"/>
      </w:rPr>
    </w:lvl>
    <w:lvl w:ilvl="3" w:tplc="80B28CEA">
      <w:start w:val="1"/>
      <w:numFmt w:val="bullet"/>
      <w:lvlText w:val=""/>
      <w:lvlJc w:val="left"/>
      <w:pPr>
        <w:ind w:left="2880" w:hanging="360"/>
      </w:pPr>
      <w:rPr>
        <w:rFonts w:ascii="Symbol" w:hAnsi="Symbol" w:hint="default"/>
      </w:rPr>
    </w:lvl>
    <w:lvl w:ilvl="4" w:tplc="82AC940C">
      <w:start w:val="1"/>
      <w:numFmt w:val="bullet"/>
      <w:lvlText w:val="o"/>
      <w:lvlJc w:val="left"/>
      <w:pPr>
        <w:ind w:left="3600" w:hanging="360"/>
      </w:pPr>
      <w:rPr>
        <w:rFonts w:ascii="Courier New" w:hAnsi="Courier New" w:hint="default"/>
      </w:rPr>
    </w:lvl>
    <w:lvl w:ilvl="5" w:tplc="272C2786">
      <w:start w:val="1"/>
      <w:numFmt w:val="bullet"/>
      <w:lvlText w:val=""/>
      <w:lvlJc w:val="left"/>
      <w:pPr>
        <w:ind w:left="4320" w:hanging="360"/>
      </w:pPr>
      <w:rPr>
        <w:rFonts w:ascii="Wingdings" w:hAnsi="Wingdings" w:hint="default"/>
      </w:rPr>
    </w:lvl>
    <w:lvl w:ilvl="6" w:tplc="906A9E1E">
      <w:start w:val="1"/>
      <w:numFmt w:val="bullet"/>
      <w:lvlText w:val=""/>
      <w:lvlJc w:val="left"/>
      <w:pPr>
        <w:ind w:left="5040" w:hanging="360"/>
      </w:pPr>
      <w:rPr>
        <w:rFonts w:ascii="Symbol" w:hAnsi="Symbol" w:hint="default"/>
      </w:rPr>
    </w:lvl>
    <w:lvl w:ilvl="7" w:tplc="709EE77E">
      <w:start w:val="1"/>
      <w:numFmt w:val="bullet"/>
      <w:lvlText w:val="o"/>
      <w:lvlJc w:val="left"/>
      <w:pPr>
        <w:ind w:left="5760" w:hanging="360"/>
      </w:pPr>
      <w:rPr>
        <w:rFonts w:ascii="Courier New" w:hAnsi="Courier New" w:hint="default"/>
      </w:rPr>
    </w:lvl>
    <w:lvl w:ilvl="8" w:tplc="4920A21A">
      <w:start w:val="1"/>
      <w:numFmt w:val="bullet"/>
      <w:lvlText w:val=""/>
      <w:lvlJc w:val="left"/>
      <w:pPr>
        <w:ind w:left="6480" w:hanging="360"/>
      </w:pPr>
      <w:rPr>
        <w:rFonts w:ascii="Wingdings" w:hAnsi="Wingdings" w:hint="default"/>
      </w:rPr>
    </w:lvl>
  </w:abstractNum>
  <w:abstractNum w:abstractNumId="9" w15:restartNumberingAfterBreak="0">
    <w:nsid w:val="30DE7485"/>
    <w:multiLevelType w:val="hybridMultilevel"/>
    <w:tmpl w:val="3A3A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458BCA"/>
    <w:multiLevelType w:val="multilevel"/>
    <w:tmpl w:val="FFFFFFFF"/>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3F41DFBA"/>
    <w:multiLevelType w:val="hybridMultilevel"/>
    <w:tmpl w:val="E69689B6"/>
    <w:lvl w:ilvl="0" w:tplc="A2A8ABA4">
      <w:start w:val="1"/>
      <w:numFmt w:val="bullet"/>
      <w:lvlText w:val=""/>
      <w:lvlJc w:val="left"/>
      <w:pPr>
        <w:ind w:left="720" w:hanging="360"/>
      </w:pPr>
      <w:rPr>
        <w:rFonts w:ascii="Symbol" w:hAnsi="Symbol" w:hint="default"/>
      </w:rPr>
    </w:lvl>
    <w:lvl w:ilvl="1" w:tplc="233C3512">
      <w:start w:val="1"/>
      <w:numFmt w:val="bullet"/>
      <w:lvlText w:val="o"/>
      <w:lvlJc w:val="left"/>
      <w:pPr>
        <w:ind w:left="1440" w:hanging="360"/>
      </w:pPr>
      <w:rPr>
        <w:rFonts w:ascii="Courier New" w:hAnsi="Courier New" w:hint="default"/>
      </w:rPr>
    </w:lvl>
    <w:lvl w:ilvl="2" w:tplc="5864576E">
      <w:start w:val="1"/>
      <w:numFmt w:val="bullet"/>
      <w:lvlText w:val=""/>
      <w:lvlJc w:val="left"/>
      <w:pPr>
        <w:ind w:left="2160" w:hanging="360"/>
      </w:pPr>
      <w:rPr>
        <w:rFonts w:ascii="Wingdings" w:hAnsi="Wingdings" w:hint="default"/>
      </w:rPr>
    </w:lvl>
    <w:lvl w:ilvl="3" w:tplc="995ABDD4">
      <w:start w:val="1"/>
      <w:numFmt w:val="bullet"/>
      <w:lvlText w:val=""/>
      <w:lvlJc w:val="left"/>
      <w:pPr>
        <w:ind w:left="2880" w:hanging="360"/>
      </w:pPr>
      <w:rPr>
        <w:rFonts w:ascii="Symbol" w:hAnsi="Symbol" w:hint="default"/>
      </w:rPr>
    </w:lvl>
    <w:lvl w:ilvl="4" w:tplc="F9863144">
      <w:start w:val="1"/>
      <w:numFmt w:val="bullet"/>
      <w:lvlText w:val="o"/>
      <w:lvlJc w:val="left"/>
      <w:pPr>
        <w:ind w:left="3600" w:hanging="360"/>
      </w:pPr>
      <w:rPr>
        <w:rFonts w:ascii="Courier New" w:hAnsi="Courier New" w:hint="default"/>
      </w:rPr>
    </w:lvl>
    <w:lvl w:ilvl="5" w:tplc="6BBEAE76">
      <w:start w:val="1"/>
      <w:numFmt w:val="bullet"/>
      <w:lvlText w:val=""/>
      <w:lvlJc w:val="left"/>
      <w:pPr>
        <w:ind w:left="4320" w:hanging="360"/>
      </w:pPr>
      <w:rPr>
        <w:rFonts w:ascii="Wingdings" w:hAnsi="Wingdings" w:hint="default"/>
      </w:rPr>
    </w:lvl>
    <w:lvl w:ilvl="6" w:tplc="553097D2">
      <w:start w:val="1"/>
      <w:numFmt w:val="bullet"/>
      <w:lvlText w:val=""/>
      <w:lvlJc w:val="left"/>
      <w:pPr>
        <w:ind w:left="5040" w:hanging="360"/>
      </w:pPr>
      <w:rPr>
        <w:rFonts w:ascii="Symbol" w:hAnsi="Symbol" w:hint="default"/>
      </w:rPr>
    </w:lvl>
    <w:lvl w:ilvl="7" w:tplc="F9909108">
      <w:start w:val="1"/>
      <w:numFmt w:val="bullet"/>
      <w:lvlText w:val="o"/>
      <w:lvlJc w:val="left"/>
      <w:pPr>
        <w:ind w:left="5760" w:hanging="360"/>
      </w:pPr>
      <w:rPr>
        <w:rFonts w:ascii="Courier New" w:hAnsi="Courier New" w:hint="default"/>
      </w:rPr>
    </w:lvl>
    <w:lvl w:ilvl="8" w:tplc="842CFE6C">
      <w:start w:val="1"/>
      <w:numFmt w:val="bullet"/>
      <w:lvlText w:val=""/>
      <w:lvlJc w:val="left"/>
      <w:pPr>
        <w:ind w:left="6480" w:hanging="360"/>
      </w:pPr>
      <w:rPr>
        <w:rFonts w:ascii="Wingdings" w:hAnsi="Wingdings" w:hint="default"/>
      </w:rPr>
    </w:lvl>
  </w:abstractNum>
  <w:abstractNum w:abstractNumId="12" w15:restartNumberingAfterBreak="0">
    <w:nsid w:val="40AC986E"/>
    <w:multiLevelType w:val="hybridMultilevel"/>
    <w:tmpl w:val="FE4C7692"/>
    <w:lvl w:ilvl="0" w:tplc="21C84AB8">
      <w:start w:val="1"/>
      <w:numFmt w:val="bullet"/>
      <w:lvlText w:val=""/>
      <w:lvlJc w:val="left"/>
      <w:pPr>
        <w:ind w:left="720" w:hanging="360"/>
      </w:pPr>
      <w:rPr>
        <w:rFonts w:ascii="Symbol" w:hAnsi="Symbol" w:hint="default"/>
      </w:rPr>
    </w:lvl>
    <w:lvl w:ilvl="1" w:tplc="CDE42E6C">
      <w:start w:val="1"/>
      <w:numFmt w:val="bullet"/>
      <w:lvlText w:val="o"/>
      <w:lvlJc w:val="left"/>
      <w:pPr>
        <w:ind w:left="1440" w:hanging="360"/>
      </w:pPr>
      <w:rPr>
        <w:rFonts w:ascii="Courier New" w:hAnsi="Courier New" w:hint="default"/>
      </w:rPr>
    </w:lvl>
    <w:lvl w:ilvl="2" w:tplc="FCB67730">
      <w:start w:val="1"/>
      <w:numFmt w:val="bullet"/>
      <w:lvlText w:val=""/>
      <w:lvlJc w:val="left"/>
      <w:pPr>
        <w:ind w:left="2160" w:hanging="360"/>
      </w:pPr>
      <w:rPr>
        <w:rFonts w:ascii="Wingdings" w:hAnsi="Wingdings" w:hint="default"/>
      </w:rPr>
    </w:lvl>
    <w:lvl w:ilvl="3" w:tplc="E6E681AA">
      <w:start w:val="1"/>
      <w:numFmt w:val="bullet"/>
      <w:lvlText w:val=""/>
      <w:lvlJc w:val="left"/>
      <w:pPr>
        <w:ind w:left="2880" w:hanging="360"/>
      </w:pPr>
      <w:rPr>
        <w:rFonts w:ascii="Symbol" w:hAnsi="Symbol" w:hint="default"/>
      </w:rPr>
    </w:lvl>
    <w:lvl w:ilvl="4" w:tplc="B9441626">
      <w:start w:val="1"/>
      <w:numFmt w:val="bullet"/>
      <w:lvlText w:val="o"/>
      <w:lvlJc w:val="left"/>
      <w:pPr>
        <w:ind w:left="3600" w:hanging="360"/>
      </w:pPr>
      <w:rPr>
        <w:rFonts w:ascii="Courier New" w:hAnsi="Courier New" w:hint="default"/>
      </w:rPr>
    </w:lvl>
    <w:lvl w:ilvl="5" w:tplc="36B4209E">
      <w:start w:val="1"/>
      <w:numFmt w:val="bullet"/>
      <w:lvlText w:val=""/>
      <w:lvlJc w:val="left"/>
      <w:pPr>
        <w:ind w:left="4320" w:hanging="360"/>
      </w:pPr>
      <w:rPr>
        <w:rFonts w:ascii="Wingdings" w:hAnsi="Wingdings" w:hint="default"/>
      </w:rPr>
    </w:lvl>
    <w:lvl w:ilvl="6" w:tplc="D02831D0">
      <w:start w:val="1"/>
      <w:numFmt w:val="bullet"/>
      <w:lvlText w:val=""/>
      <w:lvlJc w:val="left"/>
      <w:pPr>
        <w:ind w:left="5040" w:hanging="360"/>
      </w:pPr>
      <w:rPr>
        <w:rFonts w:ascii="Symbol" w:hAnsi="Symbol" w:hint="default"/>
      </w:rPr>
    </w:lvl>
    <w:lvl w:ilvl="7" w:tplc="76D42BF6">
      <w:start w:val="1"/>
      <w:numFmt w:val="bullet"/>
      <w:lvlText w:val="o"/>
      <w:lvlJc w:val="left"/>
      <w:pPr>
        <w:ind w:left="5760" w:hanging="360"/>
      </w:pPr>
      <w:rPr>
        <w:rFonts w:ascii="Courier New" w:hAnsi="Courier New" w:hint="default"/>
      </w:rPr>
    </w:lvl>
    <w:lvl w:ilvl="8" w:tplc="EA80DB70">
      <w:start w:val="1"/>
      <w:numFmt w:val="bullet"/>
      <w:lvlText w:val=""/>
      <w:lvlJc w:val="left"/>
      <w:pPr>
        <w:ind w:left="6480" w:hanging="360"/>
      </w:pPr>
      <w:rPr>
        <w:rFonts w:ascii="Wingdings" w:hAnsi="Wingdings" w:hint="default"/>
      </w:rPr>
    </w:lvl>
  </w:abstractNum>
  <w:abstractNum w:abstractNumId="13" w15:restartNumberingAfterBreak="0">
    <w:nsid w:val="40CA2B38"/>
    <w:multiLevelType w:val="hybridMultilevel"/>
    <w:tmpl w:val="66903684"/>
    <w:lvl w:ilvl="0" w:tplc="FA7E5EB8">
      <w:start w:val="1"/>
      <w:numFmt w:val="bullet"/>
      <w:lvlText w:val=""/>
      <w:lvlJc w:val="left"/>
      <w:pPr>
        <w:ind w:left="720" w:hanging="360"/>
      </w:pPr>
      <w:rPr>
        <w:rFonts w:ascii="Symbol" w:hAnsi="Symbol" w:hint="default"/>
      </w:rPr>
    </w:lvl>
    <w:lvl w:ilvl="1" w:tplc="CDE42E6C">
      <w:start w:val="1"/>
      <w:numFmt w:val="bullet"/>
      <w:lvlText w:val="o"/>
      <w:lvlJc w:val="left"/>
      <w:pPr>
        <w:ind w:left="1440" w:hanging="360"/>
      </w:pPr>
      <w:rPr>
        <w:rFonts w:ascii="Courier New" w:hAnsi="Courier New" w:hint="default"/>
      </w:rPr>
    </w:lvl>
    <w:lvl w:ilvl="2" w:tplc="BDEC8E7A">
      <w:start w:val="1"/>
      <w:numFmt w:val="bullet"/>
      <w:lvlText w:val=""/>
      <w:lvlJc w:val="left"/>
      <w:pPr>
        <w:ind w:left="2160" w:hanging="360"/>
      </w:pPr>
      <w:rPr>
        <w:rFonts w:ascii="Wingdings" w:hAnsi="Wingdings" w:hint="default"/>
      </w:rPr>
    </w:lvl>
    <w:lvl w:ilvl="3" w:tplc="7A9E7B86">
      <w:start w:val="1"/>
      <w:numFmt w:val="bullet"/>
      <w:lvlText w:val=""/>
      <w:lvlJc w:val="left"/>
      <w:pPr>
        <w:ind w:left="2880" w:hanging="360"/>
      </w:pPr>
      <w:rPr>
        <w:rFonts w:ascii="Symbol" w:hAnsi="Symbol" w:hint="default"/>
      </w:rPr>
    </w:lvl>
    <w:lvl w:ilvl="4" w:tplc="5360E66E">
      <w:start w:val="1"/>
      <w:numFmt w:val="bullet"/>
      <w:lvlText w:val="o"/>
      <w:lvlJc w:val="left"/>
      <w:pPr>
        <w:ind w:left="3600" w:hanging="360"/>
      </w:pPr>
      <w:rPr>
        <w:rFonts w:ascii="Courier New" w:hAnsi="Courier New" w:hint="default"/>
      </w:rPr>
    </w:lvl>
    <w:lvl w:ilvl="5" w:tplc="BF4A085A">
      <w:start w:val="1"/>
      <w:numFmt w:val="bullet"/>
      <w:lvlText w:val=""/>
      <w:lvlJc w:val="left"/>
      <w:pPr>
        <w:ind w:left="4320" w:hanging="360"/>
      </w:pPr>
      <w:rPr>
        <w:rFonts w:ascii="Wingdings" w:hAnsi="Wingdings" w:hint="default"/>
      </w:rPr>
    </w:lvl>
    <w:lvl w:ilvl="6" w:tplc="A78C2FCE">
      <w:start w:val="1"/>
      <w:numFmt w:val="bullet"/>
      <w:lvlText w:val=""/>
      <w:lvlJc w:val="left"/>
      <w:pPr>
        <w:ind w:left="5040" w:hanging="360"/>
      </w:pPr>
      <w:rPr>
        <w:rFonts w:ascii="Symbol" w:hAnsi="Symbol" w:hint="default"/>
      </w:rPr>
    </w:lvl>
    <w:lvl w:ilvl="7" w:tplc="76C0102E">
      <w:start w:val="1"/>
      <w:numFmt w:val="bullet"/>
      <w:lvlText w:val="o"/>
      <w:lvlJc w:val="left"/>
      <w:pPr>
        <w:ind w:left="5760" w:hanging="360"/>
      </w:pPr>
      <w:rPr>
        <w:rFonts w:ascii="Courier New" w:hAnsi="Courier New" w:hint="default"/>
      </w:rPr>
    </w:lvl>
    <w:lvl w:ilvl="8" w:tplc="0B6A2F3C">
      <w:start w:val="1"/>
      <w:numFmt w:val="bullet"/>
      <w:lvlText w:val=""/>
      <w:lvlJc w:val="left"/>
      <w:pPr>
        <w:ind w:left="6480" w:hanging="360"/>
      </w:pPr>
      <w:rPr>
        <w:rFonts w:ascii="Wingdings" w:hAnsi="Wingdings" w:hint="default"/>
      </w:rPr>
    </w:lvl>
  </w:abstractNum>
  <w:abstractNum w:abstractNumId="14" w15:restartNumberingAfterBreak="0">
    <w:nsid w:val="419F3173"/>
    <w:multiLevelType w:val="hybridMultilevel"/>
    <w:tmpl w:val="45DC77EC"/>
    <w:lvl w:ilvl="0" w:tplc="0BA28B02">
      <w:start w:val="1"/>
      <w:numFmt w:val="decimal"/>
      <w:lvlText w:val="%1."/>
      <w:lvlJc w:val="left"/>
      <w:pPr>
        <w:ind w:left="360" w:hanging="360"/>
      </w:pPr>
    </w:lvl>
    <w:lvl w:ilvl="1" w:tplc="5492DEEA">
      <w:start w:val="1"/>
      <w:numFmt w:val="lowerLetter"/>
      <w:lvlText w:val="%2."/>
      <w:lvlJc w:val="left"/>
      <w:pPr>
        <w:ind w:left="1080" w:hanging="360"/>
      </w:pPr>
    </w:lvl>
    <w:lvl w:ilvl="2" w:tplc="5282D730">
      <w:start w:val="1"/>
      <w:numFmt w:val="lowerRoman"/>
      <w:lvlText w:val="%3."/>
      <w:lvlJc w:val="right"/>
      <w:pPr>
        <w:ind w:left="1800" w:hanging="180"/>
      </w:pPr>
    </w:lvl>
    <w:lvl w:ilvl="3" w:tplc="C402213E">
      <w:start w:val="1"/>
      <w:numFmt w:val="decimal"/>
      <w:lvlText w:val="%4."/>
      <w:lvlJc w:val="left"/>
      <w:pPr>
        <w:ind w:left="2520" w:hanging="360"/>
      </w:pPr>
    </w:lvl>
    <w:lvl w:ilvl="4" w:tplc="A43AD82A">
      <w:start w:val="1"/>
      <w:numFmt w:val="lowerLetter"/>
      <w:lvlText w:val="%5."/>
      <w:lvlJc w:val="left"/>
      <w:pPr>
        <w:ind w:left="3240" w:hanging="360"/>
      </w:pPr>
    </w:lvl>
    <w:lvl w:ilvl="5" w:tplc="597C675A">
      <w:start w:val="1"/>
      <w:numFmt w:val="lowerRoman"/>
      <w:lvlText w:val="%6."/>
      <w:lvlJc w:val="right"/>
      <w:pPr>
        <w:ind w:left="3960" w:hanging="180"/>
      </w:pPr>
    </w:lvl>
    <w:lvl w:ilvl="6" w:tplc="69B83590">
      <w:start w:val="1"/>
      <w:numFmt w:val="decimal"/>
      <w:lvlText w:val="%7."/>
      <w:lvlJc w:val="left"/>
      <w:pPr>
        <w:ind w:left="4680" w:hanging="360"/>
      </w:pPr>
    </w:lvl>
    <w:lvl w:ilvl="7" w:tplc="63F65130">
      <w:start w:val="1"/>
      <w:numFmt w:val="lowerLetter"/>
      <w:lvlText w:val="%8."/>
      <w:lvlJc w:val="left"/>
      <w:pPr>
        <w:ind w:left="5400" w:hanging="360"/>
      </w:pPr>
    </w:lvl>
    <w:lvl w:ilvl="8" w:tplc="0B787714">
      <w:start w:val="1"/>
      <w:numFmt w:val="lowerRoman"/>
      <w:lvlText w:val="%9."/>
      <w:lvlJc w:val="right"/>
      <w:pPr>
        <w:ind w:left="6120" w:hanging="180"/>
      </w:pPr>
    </w:lvl>
  </w:abstractNum>
  <w:abstractNum w:abstractNumId="15" w15:restartNumberingAfterBreak="0">
    <w:nsid w:val="5A520B6B"/>
    <w:multiLevelType w:val="hybridMultilevel"/>
    <w:tmpl w:val="C452FF0E"/>
    <w:lvl w:ilvl="0" w:tplc="49A0D946">
      <w:start w:val="1"/>
      <w:numFmt w:val="decimal"/>
      <w:lvlText w:val="%1."/>
      <w:lvlJc w:val="left"/>
      <w:pPr>
        <w:ind w:left="720" w:hanging="360"/>
      </w:pPr>
    </w:lvl>
    <w:lvl w:ilvl="1" w:tplc="E58EFD88">
      <w:start w:val="1"/>
      <w:numFmt w:val="lowerLetter"/>
      <w:lvlText w:val="%2."/>
      <w:lvlJc w:val="left"/>
      <w:pPr>
        <w:ind w:left="1440" w:hanging="360"/>
      </w:pPr>
    </w:lvl>
    <w:lvl w:ilvl="2" w:tplc="E34EDBB2">
      <w:start w:val="1"/>
      <w:numFmt w:val="lowerRoman"/>
      <w:lvlText w:val="%3."/>
      <w:lvlJc w:val="right"/>
      <w:pPr>
        <w:ind w:left="2160" w:hanging="180"/>
      </w:pPr>
    </w:lvl>
    <w:lvl w:ilvl="3" w:tplc="D84204F0">
      <w:start w:val="1"/>
      <w:numFmt w:val="decimal"/>
      <w:lvlText w:val="%4."/>
      <w:lvlJc w:val="left"/>
      <w:pPr>
        <w:ind w:left="2880" w:hanging="360"/>
      </w:pPr>
    </w:lvl>
    <w:lvl w:ilvl="4" w:tplc="B0620AAC">
      <w:start w:val="1"/>
      <w:numFmt w:val="lowerLetter"/>
      <w:lvlText w:val="%5."/>
      <w:lvlJc w:val="left"/>
      <w:pPr>
        <w:ind w:left="3600" w:hanging="360"/>
      </w:pPr>
    </w:lvl>
    <w:lvl w:ilvl="5" w:tplc="B578445E">
      <w:start w:val="1"/>
      <w:numFmt w:val="lowerRoman"/>
      <w:lvlText w:val="%6."/>
      <w:lvlJc w:val="right"/>
      <w:pPr>
        <w:ind w:left="4320" w:hanging="180"/>
      </w:pPr>
    </w:lvl>
    <w:lvl w:ilvl="6" w:tplc="5D18E22A">
      <w:start w:val="1"/>
      <w:numFmt w:val="decimal"/>
      <w:lvlText w:val="%7."/>
      <w:lvlJc w:val="left"/>
      <w:pPr>
        <w:ind w:left="5040" w:hanging="360"/>
      </w:pPr>
    </w:lvl>
    <w:lvl w:ilvl="7" w:tplc="284A04A2">
      <w:start w:val="1"/>
      <w:numFmt w:val="lowerLetter"/>
      <w:lvlText w:val="%8."/>
      <w:lvlJc w:val="left"/>
      <w:pPr>
        <w:ind w:left="5760" w:hanging="360"/>
      </w:pPr>
    </w:lvl>
    <w:lvl w:ilvl="8" w:tplc="259C5AD8">
      <w:start w:val="1"/>
      <w:numFmt w:val="lowerRoman"/>
      <w:lvlText w:val="%9."/>
      <w:lvlJc w:val="right"/>
      <w:pPr>
        <w:ind w:left="6480" w:hanging="180"/>
      </w:pPr>
    </w:lvl>
  </w:abstractNum>
  <w:abstractNum w:abstractNumId="16" w15:restartNumberingAfterBreak="0">
    <w:nsid w:val="5C740CE6"/>
    <w:multiLevelType w:val="hybridMultilevel"/>
    <w:tmpl w:val="2E40BA5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EEFA8C"/>
    <w:multiLevelType w:val="hybridMultilevel"/>
    <w:tmpl w:val="6E0E9DB8"/>
    <w:lvl w:ilvl="0" w:tplc="0BD8DCF0">
      <w:start w:val="1"/>
      <w:numFmt w:val="bullet"/>
      <w:lvlText w:val=""/>
      <w:lvlJc w:val="left"/>
      <w:pPr>
        <w:ind w:left="720" w:hanging="360"/>
      </w:pPr>
      <w:rPr>
        <w:rFonts w:ascii="Symbol" w:hAnsi="Symbol" w:hint="default"/>
      </w:rPr>
    </w:lvl>
    <w:lvl w:ilvl="1" w:tplc="81B44B2A">
      <w:start w:val="1"/>
      <w:numFmt w:val="bullet"/>
      <w:lvlText w:val="o"/>
      <w:lvlJc w:val="left"/>
      <w:pPr>
        <w:ind w:left="1440" w:hanging="360"/>
      </w:pPr>
      <w:rPr>
        <w:rFonts w:ascii="Courier New" w:hAnsi="Courier New" w:hint="default"/>
      </w:rPr>
    </w:lvl>
    <w:lvl w:ilvl="2" w:tplc="FBE05D3C">
      <w:start w:val="1"/>
      <w:numFmt w:val="bullet"/>
      <w:lvlText w:val=""/>
      <w:lvlJc w:val="left"/>
      <w:pPr>
        <w:ind w:left="2160" w:hanging="360"/>
      </w:pPr>
      <w:rPr>
        <w:rFonts w:ascii="Wingdings" w:hAnsi="Wingdings" w:hint="default"/>
      </w:rPr>
    </w:lvl>
    <w:lvl w:ilvl="3" w:tplc="60286A14">
      <w:start w:val="1"/>
      <w:numFmt w:val="bullet"/>
      <w:lvlText w:val=""/>
      <w:lvlJc w:val="left"/>
      <w:pPr>
        <w:ind w:left="2880" w:hanging="360"/>
      </w:pPr>
      <w:rPr>
        <w:rFonts w:ascii="Symbol" w:hAnsi="Symbol" w:hint="default"/>
      </w:rPr>
    </w:lvl>
    <w:lvl w:ilvl="4" w:tplc="1124DBEE">
      <w:start w:val="1"/>
      <w:numFmt w:val="bullet"/>
      <w:lvlText w:val="o"/>
      <w:lvlJc w:val="left"/>
      <w:pPr>
        <w:ind w:left="3600" w:hanging="360"/>
      </w:pPr>
      <w:rPr>
        <w:rFonts w:ascii="Courier New" w:hAnsi="Courier New" w:hint="default"/>
      </w:rPr>
    </w:lvl>
    <w:lvl w:ilvl="5" w:tplc="F64A3C0C">
      <w:start w:val="1"/>
      <w:numFmt w:val="bullet"/>
      <w:lvlText w:val=""/>
      <w:lvlJc w:val="left"/>
      <w:pPr>
        <w:ind w:left="4320" w:hanging="360"/>
      </w:pPr>
      <w:rPr>
        <w:rFonts w:ascii="Wingdings" w:hAnsi="Wingdings" w:hint="default"/>
      </w:rPr>
    </w:lvl>
    <w:lvl w:ilvl="6" w:tplc="E64A2B3C">
      <w:start w:val="1"/>
      <w:numFmt w:val="bullet"/>
      <w:lvlText w:val=""/>
      <w:lvlJc w:val="left"/>
      <w:pPr>
        <w:ind w:left="5040" w:hanging="360"/>
      </w:pPr>
      <w:rPr>
        <w:rFonts w:ascii="Symbol" w:hAnsi="Symbol" w:hint="default"/>
      </w:rPr>
    </w:lvl>
    <w:lvl w:ilvl="7" w:tplc="E7C03AD8">
      <w:start w:val="1"/>
      <w:numFmt w:val="bullet"/>
      <w:lvlText w:val="o"/>
      <w:lvlJc w:val="left"/>
      <w:pPr>
        <w:ind w:left="5760" w:hanging="360"/>
      </w:pPr>
      <w:rPr>
        <w:rFonts w:ascii="Courier New" w:hAnsi="Courier New" w:hint="default"/>
      </w:rPr>
    </w:lvl>
    <w:lvl w:ilvl="8" w:tplc="D0225B54">
      <w:start w:val="1"/>
      <w:numFmt w:val="bullet"/>
      <w:lvlText w:val=""/>
      <w:lvlJc w:val="left"/>
      <w:pPr>
        <w:ind w:left="6480" w:hanging="360"/>
      </w:pPr>
      <w:rPr>
        <w:rFonts w:ascii="Wingdings" w:hAnsi="Wingdings" w:hint="default"/>
      </w:rPr>
    </w:lvl>
  </w:abstractNum>
  <w:abstractNum w:abstractNumId="18" w15:restartNumberingAfterBreak="0">
    <w:nsid w:val="67767845"/>
    <w:multiLevelType w:val="multilevel"/>
    <w:tmpl w:val="98A22F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EF5409"/>
    <w:multiLevelType w:val="hybridMultilevel"/>
    <w:tmpl w:val="5668664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E3493"/>
    <w:multiLevelType w:val="multilevel"/>
    <w:tmpl w:val="619E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BCABF9"/>
    <w:multiLevelType w:val="hybridMultilevel"/>
    <w:tmpl w:val="74A45512"/>
    <w:lvl w:ilvl="0" w:tplc="1166F33C">
      <w:start w:val="1"/>
      <w:numFmt w:val="bullet"/>
      <w:lvlText w:val=""/>
      <w:lvlJc w:val="left"/>
      <w:pPr>
        <w:ind w:left="1080" w:hanging="360"/>
      </w:pPr>
      <w:rPr>
        <w:rFonts w:ascii="Symbol" w:hAnsi="Symbol" w:hint="default"/>
      </w:rPr>
    </w:lvl>
    <w:lvl w:ilvl="1" w:tplc="D0F6F5A8">
      <w:start w:val="1"/>
      <w:numFmt w:val="bullet"/>
      <w:lvlText w:val="o"/>
      <w:lvlJc w:val="left"/>
      <w:pPr>
        <w:ind w:left="1440" w:hanging="360"/>
      </w:pPr>
      <w:rPr>
        <w:rFonts w:ascii="Courier New" w:hAnsi="Courier New" w:hint="default"/>
      </w:rPr>
    </w:lvl>
    <w:lvl w:ilvl="2" w:tplc="C9BE0900">
      <w:start w:val="1"/>
      <w:numFmt w:val="bullet"/>
      <w:lvlText w:val=""/>
      <w:lvlJc w:val="left"/>
      <w:pPr>
        <w:ind w:left="2160" w:hanging="360"/>
      </w:pPr>
      <w:rPr>
        <w:rFonts w:ascii="Wingdings" w:hAnsi="Wingdings" w:hint="default"/>
      </w:rPr>
    </w:lvl>
    <w:lvl w:ilvl="3" w:tplc="90D82A6E">
      <w:start w:val="1"/>
      <w:numFmt w:val="bullet"/>
      <w:lvlText w:val=""/>
      <w:lvlJc w:val="left"/>
      <w:pPr>
        <w:ind w:left="2880" w:hanging="360"/>
      </w:pPr>
      <w:rPr>
        <w:rFonts w:ascii="Symbol" w:hAnsi="Symbol" w:hint="default"/>
      </w:rPr>
    </w:lvl>
    <w:lvl w:ilvl="4" w:tplc="050CDD7A">
      <w:start w:val="1"/>
      <w:numFmt w:val="bullet"/>
      <w:lvlText w:val="o"/>
      <w:lvlJc w:val="left"/>
      <w:pPr>
        <w:ind w:left="3600" w:hanging="360"/>
      </w:pPr>
      <w:rPr>
        <w:rFonts w:ascii="Courier New" w:hAnsi="Courier New" w:hint="default"/>
      </w:rPr>
    </w:lvl>
    <w:lvl w:ilvl="5" w:tplc="368E5FB8">
      <w:start w:val="1"/>
      <w:numFmt w:val="bullet"/>
      <w:lvlText w:val=""/>
      <w:lvlJc w:val="left"/>
      <w:pPr>
        <w:ind w:left="4320" w:hanging="360"/>
      </w:pPr>
      <w:rPr>
        <w:rFonts w:ascii="Wingdings" w:hAnsi="Wingdings" w:hint="default"/>
      </w:rPr>
    </w:lvl>
    <w:lvl w:ilvl="6" w:tplc="99B40942">
      <w:start w:val="1"/>
      <w:numFmt w:val="bullet"/>
      <w:lvlText w:val=""/>
      <w:lvlJc w:val="left"/>
      <w:pPr>
        <w:ind w:left="5040" w:hanging="360"/>
      </w:pPr>
      <w:rPr>
        <w:rFonts w:ascii="Symbol" w:hAnsi="Symbol" w:hint="default"/>
      </w:rPr>
    </w:lvl>
    <w:lvl w:ilvl="7" w:tplc="A1047FDA">
      <w:start w:val="1"/>
      <w:numFmt w:val="bullet"/>
      <w:lvlText w:val="o"/>
      <w:lvlJc w:val="left"/>
      <w:pPr>
        <w:ind w:left="5760" w:hanging="360"/>
      </w:pPr>
      <w:rPr>
        <w:rFonts w:ascii="Courier New" w:hAnsi="Courier New" w:hint="default"/>
      </w:rPr>
    </w:lvl>
    <w:lvl w:ilvl="8" w:tplc="7242BDEA">
      <w:start w:val="1"/>
      <w:numFmt w:val="bullet"/>
      <w:lvlText w:val=""/>
      <w:lvlJc w:val="left"/>
      <w:pPr>
        <w:ind w:left="6480" w:hanging="360"/>
      </w:pPr>
      <w:rPr>
        <w:rFonts w:ascii="Wingdings" w:hAnsi="Wingdings" w:hint="default"/>
      </w:rPr>
    </w:lvl>
  </w:abstractNum>
  <w:abstractNum w:abstractNumId="22" w15:restartNumberingAfterBreak="0">
    <w:nsid w:val="75300260"/>
    <w:multiLevelType w:val="hybridMultilevel"/>
    <w:tmpl w:val="B5062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7F76CB"/>
    <w:multiLevelType w:val="multilevel"/>
    <w:tmpl w:val="F0BAA3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8E7FA7"/>
    <w:multiLevelType w:val="hybridMultilevel"/>
    <w:tmpl w:val="17C09E6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0331276">
    <w:abstractNumId w:val="15"/>
  </w:num>
  <w:num w:numId="2" w16cid:durableId="1851798335">
    <w:abstractNumId w:val="3"/>
  </w:num>
  <w:num w:numId="3" w16cid:durableId="168060115">
    <w:abstractNumId w:val="14"/>
  </w:num>
  <w:num w:numId="4" w16cid:durableId="1560166140">
    <w:abstractNumId w:val="21"/>
  </w:num>
  <w:num w:numId="5" w16cid:durableId="1709715493">
    <w:abstractNumId w:val="11"/>
  </w:num>
  <w:num w:numId="6" w16cid:durableId="60057729">
    <w:abstractNumId w:val="13"/>
  </w:num>
  <w:num w:numId="7" w16cid:durableId="484975236">
    <w:abstractNumId w:val="12"/>
  </w:num>
  <w:num w:numId="8" w16cid:durableId="1531064960">
    <w:abstractNumId w:val="0"/>
  </w:num>
  <w:num w:numId="9" w16cid:durableId="8118734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6806976">
    <w:abstractNumId w:val="5"/>
  </w:num>
  <w:num w:numId="11" w16cid:durableId="1321271711">
    <w:abstractNumId w:val="20"/>
  </w:num>
  <w:num w:numId="12" w16cid:durableId="2137018857">
    <w:abstractNumId w:val="9"/>
  </w:num>
  <w:num w:numId="13" w16cid:durableId="368339806">
    <w:abstractNumId w:val="8"/>
  </w:num>
  <w:num w:numId="14" w16cid:durableId="2115248018">
    <w:abstractNumId w:val="17"/>
  </w:num>
  <w:num w:numId="15" w16cid:durableId="1759599984">
    <w:abstractNumId w:val="23"/>
  </w:num>
  <w:num w:numId="16" w16cid:durableId="1132137184">
    <w:abstractNumId w:val="6"/>
  </w:num>
  <w:num w:numId="17" w16cid:durableId="933126980">
    <w:abstractNumId w:val="18"/>
  </w:num>
  <w:num w:numId="18" w16cid:durableId="241916777">
    <w:abstractNumId w:val="2"/>
  </w:num>
  <w:num w:numId="19" w16cid:durableId="602347296">
    <w:abstractNumId w:val="10"/>
  </w:num>
  <w:num w:numId="20" w16cid:durableId="1585725009">
    <w:abstractNumId w:val="19"/>
  </w:num>
  <w:num w:numId="21" w16cid:durableId="1142580280">
    <w:abstractNumId w:val="24"/>
  </w:num>
  <w:num w:numId="22" w16cid:durableId="713113323">
    <w:abstractNumId w:val="4"/>
  </w:num>
  <w:num w:numId="23" w16cid:durableId="1089738201">
    <w:abstractNumId w:val="16"/>
  </w:num>
  <w:num w:numId="24" w16cid:durableId="192691723">
    <w:abstractNumId w:val="22"/>
  </w:num>
  <w:num w:numId="25" w16cid:durableId="178376429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77C"/>
    <w:rsid w:val="0000039A"/>
    <w:rsid w:val="00000C85"/>
    <w:rsid w:val="00001A64"/>
    <w:rsid w:val="00001B4D"/>
    <w:rsid w:val="00002308"/>
    <w:rsid w:val="00003D7C"/>
    <w:rsid w:val="00004CE4"/>
    <w:rsid w:val="00005564"/>
    <w:rsid w:val="0000573C"/>
    <w:rsid w:val="000063E5"/>
    <w:rsid w:val="00006436"/>
    <w:rsid w:val="000065CD"/>
    <w:rsid w:val="0000788D"/>
    <w:rsid w:val="00007CFC"/>
    <w:rsid w:val="00010975"/>
    <w:rsid w:val="0001118F"/>
    <w:rsid w:val="000111F0"/>
    <w:rsid w:val="000113E6"/>
    <w:rsid w:val="00011BF5"/>
    <w:rsid w:val="00012488"/>
    <w:rsid w:val="000124BC"/>
    <w:rsid w:val="0001271F"/>
    <w:rsid w:val="00012DA3"/>
    <w:rsid w:val="000132F1"/>
    <w:rsid w:val="000148AC"/>
    <w:rsid w:val="000152C5"/>
    <w:rsid w:val="0001537D"/>
    <w:rsid w:val="00015B05"/>
    <w:rsid w:val="00015D4D"/>
    <w:rsid w:val="000166A2"/>
    <w:rsid w:val="0001696A"/>
    <w:rsid w:val="00016AF0"/>
    <w:rsid w:val="000171E6"/>
    <w:rsid w:val="00017330"/>
    <w:rsid w:val="000175F2"/>
    <w:rsid w:val="00020AC2"/>
    <w:rsid w:val="00020AE6"/>
    <w:rsid w:val="00020DD1"/>
    <w:rsid w:val="000220E8"/>
    <w:rsid w:val="00022429"/>
    <w:rsid w:val="0002245D"/>
    <w:rsid w:val="000227E6"/>
    <w:rsid w:val="00023228"/>
    <w:rsid w:val="00023699"/>
    <w:rsid w:val="00023E93"/>
    <w:rsid w:val="0002419D"/>
    <w:rsid w:val="000241E6"/>
    <w:rsid w:val="00024A37"/>
    <w:rsid w:val="00024C3F"/>
    <w:rsid w:val="00025161"/>
    <w:rsid w:val="00025684"/>
    <w:rsid w:val="00025EA9"/>
    <w:rsid w:val="00026458"/>
    <w:rsid w:val="00026C1D"/>
    <w:rsid w:val="00026EF4"/>
    <w:rsid w:val="0002797A"/>
    <w:rsid w:val="00027EE4"/>
    <w:rsid w:val="0003092A"/>
    <w:rsid w:val="0003094B"/>
    <w:rsid w:val="00030E4C"/>
    <w:rsid w:val="000315AB"/>
    <w:rsid w:val="000321BF"/>
    <w:rsid w:val="000324B9"/>
    <w:rsid w:val="00032CEF"/>
    <w:rsid w:val="00033528"/>
    <w:rsid w:val="00034033"/>
    <w:rsid w:val="00034102"/>
    <w:rsid w:val="000343E1"/>
    <w:rsid w:val="00034455"/>
    <w:rsid w:val="00034EAA"/>
    <w:rsid w:val="00035F32"/>
    <w:rsid w:val="000363DC"/>
    <w:rsid w:val="00036540"/>
    <w:rsid w:val="000365BA"/>
    <w:rsid w:val="00036880"/>
    <w:rsid w:val="00036C36"/>
    <w:rsid w:val="00036E70"/>
    <w:rsid w:val="00036E8A"/>
    <w:rsid w:val="000370CE"/>
    <w:rsid w:val="0003751C"/>
    <w:rsid w:val="00037E30"/>
    <w:rsid w:val="00037E7A"/>
    <w:rsid w:val="00040742"/>
    <w:rsid w:val="0004097C"/>
    <w:rsid w:val="00040B8C"/>
    <w:rsid w:val="00040EFA"/>
    <w:rsid w:val="00041369"/>
    <w:rsid w:val="000424B7"/>
    <w:rsid w:val="000426F9"/>
    <w:rsid w:val="000428E6"/>
    <w:rsid w:val="00042D1D"/>
    <w:rsid w:val="00042F2A"/>
    <w:rsid w:val="00043E8D"/>
    <w:rsid w:val="00043F95"/>
    <w:rsid w:val="0004419F"/>
    <w:rsid w:val="00044B2E"/>
    <w:rsid w:val="00044CE2"/>
    <w:rsid w:val="00045416"/>
    <w:rsid w:val="00045965"/>
    <w:rsid w:val="00045B10"/>
    <w:rsid w:val="00045BB1"/>
    <w:rsid w:val="00045E4B"/>
    <w:rsid w:val="00045F47"/>
    <w:rsid w:val="00046A16"/>
    <w:rsid w:val="00046A94"/>
    <w:rsid w:val="00046FA1"/>
    <w:rsid w:val="000473F1"/>
    <w:rsid w:val="00050B87"/>
    <w:rsid w:val="00050D35"/>
    <w:rsid w:val="0005158E"/>
    <w:rsid w:val="00051628"/>
    <w:rsid w:val="00051ACA"/>
    <w:rsid w:val="00051FE9"/>
    <w:rsid w:val="00052536"/>
    <w:rsid w:val="00053712"/>
    <w:rsid w:val="00053B6F"/>
    <w:rsid w:val="00053BE9"/>
    <w:rsid w:val="00053DA7"/>
    <w:rsid w:val="000541D3"/>
    <w:rsid w:val="00054D71"/>
    <w:rsid w:val="00054F9E"/>
    <w:rsid w:val="00055502"/>
    <w:rsid w:val="00055A9F"/>
    <w:rsid w:val="00055AA0"/>
    <w:rsid w:val="00055D7D"/>
    <w:rsid w:val="000568DF"/>
    <w:rsid w:val="000570E9"/>
    <w:rsid w:val="000575FF"/>
    <w:rsid w:val="00057AA0"/>
    <w:rsid w:val="00057C0C"/>
    <w:rsid w:val="00060C89"/>
    <w:rsid w:val="00060D44"/>
    <w:rsid w:val="00061172"/>
    <w:rsid w:val="0006168B"/>
    <w:rsid w:val="00061AC1"/>
    <w:rsid w:val="00061C40"/>
    <w:rsid w:val="0006246B"/>
    <w:rsid w:val="00062874"/>
    <w:rsid w:val="00062F73"/>
    <w:rsid w:val="00062FE7"/>
    <w:rsid w:val="00063207"/>
    <w:rsid w:val="00063840"/>
    <w:rsid w:val="00063894"/>
    <w:rsid w:val="000639CA"/>
    <w:rsid w:val="00063E0D"/>
    <w:rsid w:val="000640B6"/>
    <w:rsid w:val="000641A0"/>
    <w:rsid w:val="000647F2"/>
    <w:rsid w:val="00064D49"/>
    <w:rsid w:val="00064D9D"/>
    <w:rsid w:val="00065816"/>
    <w:rsid w:val="00065D31"/>
    <w:rsid w:val="00065E4C"/>
    <w:rsid w:val="00065E61"/>
    <w:rsid w:val="00065F9F"/>
    <w:rsid w:val="00065FE2"/>
    <w:rsid w:val="00066C05"/>
    <w:rsid w:val="00066D16"/>
    <w:rsid w:val="00066DEF"/>
    <w:rsid w:val="000672A4"/>
    <w:rsid w:val="0006DACD"/>
    <w:rsid w:val="000707D7"/>
    <w:rsid w:val="00071142"/>
    <w:rsid w:val="00071FB2"/>
    <w:rsid w:val="00072576"/>
    <w:rsid w:val="000729E4"/>
    <w:rsid w:val="00074EF0"/>
    <w:rsid w:val="00075078"/>
    <w:rsid w:val="00075F2E"/>
    <w:rsid w:val="000763FD"/>
    <w:rsid w:val="00076946"/>
    <w:rsid w:val="00076A68"/>
    <w:rsid w:val="00076C7E"/>
    <w:rsid w:val="00077B3F"/>
    <w:rsid w:val="0008025D"/>
    <w:rsid w:val="00080493"/>
    <w:rsid w:val="000807E9"/>
    <w:rsid w:val="00080D38"/>
    <w:rsid w:val="000810B9"/>
    <w:rsid w:val="000815FD"/>
    <w:rsid w:val="000816F0"/>
    <w:rsid w:val="00081775"/>
    <w:rsid w:val="00081B61"/>
    <w:rsid w:val="00081CDB"/>
    <w:rsid w:val="000821CF"/>
    <w:rsid w:val="0008237F"/>
    <w:rsid w:val="00082DC8"/>
    <w:rsid w:val="0008381A"/>
    <w:rsid w:val="00083A71"/>
    <w:rsid w:val="000840F8"/>
    <w:rsid w:val="00084C21"/>
    <w:rsid w:val="00084C3C"/>
    <w:rsid w:val="000852C4"/>
    <w:rsid w:val="00085323"/>
    <w:rsid w:val="00085489"/>
    <w:rsid w:val="000854C6"/>
    <w:rsid w:val="000854F7"/>
    <w:rsid w:val="00085B48"/>
    <w:rsid w:val="00086F4F"/>
    <w:rsid w:val="00087277"/>
    <w:rsid w:val="00087E16"/>
    <w:rsid w:val="00087EF2"/>
    <w:rsid w:val="00090146"/>
    <w:rsid w:val="0009040D"/>
    <w:rsid w:val="0009095E"/>
    <w:rsid w:val="00090D7B"/>
    <w:rsid w:val="000912CD"/>
    <w:rsid w:val="00091524"/>
    <w:rsid w:val="0009199B"/>
    <w:rsid w:val="000919A5"/>
    <w:rsid w:val="00092478"/>
    <w:rsid w:val="00092987"/>
    <w:rsid w:val="00092C64"/>
    <w:rsid w:val="0009597D"/>
    <w:rsid w:val="000967B3"/>
    <w:rsid w:val="00097070"/>
    <w:rsid w:val="00097418"/>
    <w:rsid w:val="000A00A1"/>
    <w:rsid w:val="000A054E"/>
    <w:rsid w:val="000A0B13"/>
    <w:rsid w:val="000A0E28"/>
    <w:rsid w:val="000A10A1"/>
    <w:rsid w:val="000A25D6"/>
    <w:rsid w:val="000A32C4"/>
    <w:rsid w:val="000A33BC"/>
    <w:rsid w:val="000A3E0D"/>
    <w:rsid w:val="000A4203"/>
    <w:rsid w:val="000A4234"/>
    <w:rsid w:val="000A437F"/>
    <w:rsid w:val="000A4814"/>
    <w:rsid w:val="000A4C51"/>
    <w:rsid w:val="000A4D99"/>
    <w:rsid w:val="000A4E06"/>
    <w:rsid w:val="000A547B"/>
    <w:rsid w:val="000A54F1"/>
    <w:rsid w:val="000A669F"/>
    <w:rsid w:val="000A67A6"/>
    <w:rsid w:val="000A6F74"/>
    <w:rsid w:val="000A7072"/>
    <w:rsid w:val="000A749D"/>
    <w:rsid w:val="000B0A23"/>
    <w:rsid w:val="000B11CD"/>
    <w:rsid w:val="000B1951"/>
    <w:rsid w:val="000B1A55"/>
    <w:rsid w:val="000B1D64"/>
    <w:rsid w:val="000B23F0"/>
    <w:rsid w:val="000B28BC"/>
    <w:rsid w:val="000B28F3"/>
    <w:rsid w:val="000B29DE"/>
    <w:rsid w:val="000B2E56"/>
    <w:rsid w:val="000B3402"/>
    <w:rsid w:val="000B3F08"/>
    <w:rsid w:val="000B409C"/>
    <w:rsid w:val="000B53B0"/>
    <w:rsid w:val="000B53C5"/>
    <w:rsid w:val="000B54F2"/>
    <w:rsid w:val="000B5A8F"/>
    <w:rsid w:val="000B66D5"/>
    <w:rsid w:val="000B67F3"/>
    <w:rsid w:val="000B6E5D"/>
    <w:rsid w:val="000B7880"/>
    <w:rsid w:val="000C040F"/>
    <w:rsid w:val="000C0DE8"/>
    <w:rsid w:val="000C0FE2"/>
    <w:rsid w:val="000C1166"/>
    <w:rsid w:val="000C1A00"/>
    <w:rsid w:val="000C1A8A"/>
    <w:rsid w:val="000C1B62"/>
    <w:rsid w:val="000C1E61"/>
    <w:rsid w:val="000C236A"/>
    <w:rsid w:val="000C2397"/>
    <w:rsid w:val="000C25D6"/>
    <w:rsid w:val="000C2799"/>
    <w:rsid w:val="000C27D2"/>
    <w:rsid w:val="000C39F7"/>
    <w:rsid w:val="000C3B0F"/>
    <w:rsid w:val="000C445E"/>
    <w:rsid w:val="000C4570"/>
    <w:rsid w:val="000C4660"/>
    <w:rsid w:val="000C46AF"/>
    <w:rsid w:val="000C4811"/>
    <w:rsid w:val="000C5325"/>
    <w:rsid w:val="000C5DC5"/>
    <w:rsid w:val="000C614A"/>
    <w:rsid w:val="000C6A4C"/>
    <w:rsid w:val="000C73E7"/>
    <w:rsid w:val="000C7618"/>
    <w:rsid w:val="000C7B8A"/>
    <w:rsid w:val="000C7E3E"/>
    <w:rsid w:val="000D0AB4"/>
    <w:rsid w:val="000D0BE5"/>
    <w:rsid w:val="000D10F1"/>
    <w:rsid w:val="000D1442"/>
    <w:rsid w:val="000D1A1D"/>
    <w:rsid w:val="000D1BBF"/>
    <w:rsid w:val="000D305D"/>
    <w:rsid w:val="000D333E"/>
    <w:rsid w:val="000D3787"/>
    <w:rsid w:val="000D382E"/>
    <w:rsid w:val="000D3EF1"/>
    <w:rsid w:val="000D4A5D"/>
    <w:rsid w:val="000D4AA6"/>
    <w:rsid w:val="000D4F2C"/>
    <w:rsid w:val="000D502A"/>
    <w:rsid w:val="000D5259"/>
    <w:rsid w:val="000D56C9"/>
    <w:rsid w:val="000D5EF1"/>
    <w:rsid w:val="000D62FA"/>
    <w:rsid w:val="000D678C"/>
    <w:rsid w:val="000D6B40"/>
    <w:rsid w:val="000D6DFD"/>
    <w:rsid w:val="000D72A9"/>
    <w:rsid w:val="000D7887"/>
    <w:rsid w:val="000D7BE6"/>
    <w:rsid w:val="000E0D8E"/>
    <w:rsid w:val="000E0FED"/>
    <w:rsid w:val="000E19BB"/>
    <w:rsid w:val="000E1F85"/>
    <w:rsid w:val="000E21B0"/>
    <w:rsid w:val="000E256B"/>
    <w:rsid w:val="000E27B4"/>
    <w:rsid w:val="000E2CF9"/>
    <w:rsid w:val="000E32E1"/>
    <w:rsid w:val="000E3832"/>
    <w:rsid w:val="000E3A91"/>
    <w:rsid w:val="000E3D00"/>
    <w:rsid w:val="000E44F7"/>
    <w:rsid w:val="000E45CB"/>
    <w:rsid w:val="000E46FA"/>
    <w:rsid w:val="000E47EB"/>
    <w:rsid w:val="000E4B5D"/>
    <w:rsid w:val="000E577D"/>
    <w:rsid w:val="000E5835"/>
    <w:rsid w:val="000E5A00"/>
    <w:rsid w:val="000E6D07"/>
    <w:rsid w:val="000E7207"/>
    <w:rsid w:val="000E7225"/>
    <w:rsid w:val="000E726A"/>
    <w:rsid w:val="000E7876"/>
    <w:rsid w:val="000E7D69"/>
    <w:rsid w:val="000F0165"/>
    <w:rsid w:val="000F04D4"/>
    <w:rsid w:val="000F1477"/>
    <w:rsid w:val="000F3323"/>
    <w:rsid w:val="000F352E"/>
    <w:rsid w:val="000F36F5"/>
    <w:rsid w:val="000F370D"/>
    <w:rsid w:val="000F387F"/>
    <w:rsid w:val="000F3D9D"/>
    <w:rsid w:val="000F463D"/>
    <w:rsid w:val="000F517F"/>
    <w:rsid w:val="000F5AC6"/>
    <w:rsid w:val="000F6348"/>
    <w:rsid w:val="000F663A"/>
    <w:rsid w:val="000F6D5B"/>
    <w:rsid w:val="000F717B"/>
    <w:rsid w:val="000F7199"/>
    <w:rsid w:val="000F720E"/>
    <w:rsid w:val="000F7BFB"/>
    <w:rsid w:val="0010020F"/>
    <w:rsid w:val="00100455"/>
    <w:rsid w:val="00100D33"/>
    <w:rsid w:val="00101350"/>
    <w:rsid w:val="0010159B"/>
    <w:rsid w:val="00101626"/>
    <w:rsid w:val="0010173D"/>
    <w:rsid w:val="0010194B"/>
    <w:rsid w:val="00101B0A"/>
    <w:rsid w:val="001024D3"/>
    <w:rsid w:val="00102E2A"/>
    <w:rsid w:val="00103869"/>
    <w:rsid w:val="001043BE"/>
    <w:rsid w:val="001043DC"/>
    <w:rsid w:val="001043DD"/>
    <w:rsid w:val="00104E07"/>
    <w:rsid w:val="00105785"/>
    <w:rsid w:val="001057F0"/>
    <w:rsid w:val="00107ACD"/>
    <w:rsid w:val="0011015E"/>
    <w:rsid w:val="0011144F"/>
    <w:rsid w:val="001118C0"/>
    <w:rsid w:val="00111BAA"/>
    <w:rsid w:val="00112112"/>
    <w:rsid w:val="00112150"/>
    <w:rsid w:val="001143E2"/>
    <w:rsid w:val="001148C3"/>
    <w:rsid w:val="00114B0F"/>
    <w:rsid w:val="00116460"/>
    <w:rsid w:val="001164A4"/>
    <w:rsid w:val="001167DA"/>
    <w:rsid w:val="00116C6F"/>
    <w:rsid w:val="00116D37"/>
    <w:rsid w:val="00117290"/>
    <w:rsid w:val="00117832"/>
    <w:rsid w:val="00117F87"/>
    <w:rsid w:val="001204D6"/>
    <w:rsid w:val="00120672"/>
    <w:rsid w:val="00120B01"/>
    <w:rsid w:val="00121020"/>
    <w:rsid w:val="00121350"/>
    <w:rsid w:val="00121A69"/>
    <w:rsid w:val="00121C6C"/>
    <w:rsid w:val="00121ECD"/>
    <w:rsid w:val="001220A5"/>
    <w:rsid w:val="00122560"/>
    <w:rsid w:val="00123B35"/>
    <w:rsid w:val="00124571"/>
    <w:rsid w:val="00124665"/>
    <w:rsid w:val="00124960"/>
    <w:rsid w:val="00124F1C"/>
    <w:rsid w:val="00125DDB"/>
    <w:rsid w:val="00126024"/>
    <w:rsid w:val="001272EB"/>
    <w:rsid w:val="00127F23"/>
    <w:rsid w:val="001303CE"/>
    <w:rsid w:val="001306AD"/>
    <w:rsid w:val="001311E6"/>
    <w:rsid w:val="00131CB3"/>
    <w:rsid w:val="00131CB5"/>
    <w:rsid w:val="00131ED4"/>
    <w:rsid w:val="00132959"/>
    <w:rsid w:val="00132D76"/>
    <w:rsid w:val="00133334"/>
    <w:rsid w:val="00133F48"/>
    <w:rsid w:val="00134281"/>
    <w:rsid w:val="001346ED"/>
    <w:rsid w:val="00135A57"/>
    <w:rsid w:val="00135E83"/>
    <w:rsid w:val="001360BC"/>
    <w:rsid w:val="001361AC"/>
    <w:rsid w:val="001362B4"/>
    <w:rsid w:val="0013641B"/>
    <w:rsid w:val="00136BC1"/>
    <w:rsid w:val="00137723"/>
    <w:rsid w:val="00137C87"/>
    <w:rsid w:val="00140153"/>
    <w:rsid w:val="001404A7"/>
    <w:rsid w:val="001418E7"/>
    <w:rsid w:val="00142037"/>
    <w:rsid w:val="00142087"/>
    <w:rsid w:val="00142194"/>
    <w:rsid w:val="00142485"/>
    <w:rsid w:val="00142D69"/>
    <w:rsid w:val="001446DF"/>
    <w:rsid w:val="00145BE3"/>
    <w:rsid w:val="00146BDE"/>
    <w:rsid w:val="00147353"/>
    <w:rsid w:val="00150121"/>
    <w:rsid w:val="00150608"/>
    <w:rsid w:val="0015091E"/>
    <w:rsid w:val="001509F8"/>
    <w:rsid w:val="001513A6"/>
    <w:rsid w:val="00151805"/>
    <w:rsid w:val="00151C8C"/>
    <w:rsid w:val="0015208D"/>
    <w:rsid w:val="0015226B"/>
    <w:rsid w:val="00152456"/>
    <w:rsid w:val="00152605"/>
    <w:rsid w:val="0015285A"/>
    <w:rsid w:val="0015294F"/>
    <w:rsid w:val="00152BB1"/>
    <w:rsid w:val="00153036"/>
    <w:rsid w:val="001531C6"/>
    <w:rsid w:val="0015324D"/>
    <w:rsid w:val="00153758"/>
    <w:rsid w:val="00153D84"/>
    <w:rsid w:val="00153F97"/>
    <w:rsid w:val="00154008"/>
    <w:rsid w:val="001542D6"/>
    <w:rsid w:val="0015445D"/>
    <w:rsid w:val="00154773"/>
    <w:rsid w:val="00154B7E"/>
    <w:rsid w:val="00154E02"/>
    <w:rsid w:val="001554F5"/>
    <w:rsid w:val="0015566E"/>
    <w:rsid w:val="00155A69"/>
    <w:rsid w:val="00156652"/>
    <w:rsid w:val="001568CE"/>
    <w:rsid w:val="00156C40"/>
    <w:rsid w:val="00157432"/>
    <w:rsid w:val="001576E7"/>
    <w:rsid w:val="0015788F"/>
    <w:rsid w:val="00160DCB"/>
    <w:rsid w:val="00160F1A"/>
    <w:rsid w:val="0016159A"/>
    <w:rsid w:val="00162460"/>
    <w:rsid w:val="00162D0A"/>
    <w:rsid w:val="001630EE"/>
    <w:rsid w:val="00163EBB"/>
    <w:rsid w:val="001641C1"/>
    <w:rsid w:val="00165602"/>
    <w:rsid w:val="00165711"/>
    <w:rsid w:val="001659BF"/>
    <w:rsid w:val="00165A1C"/>
    <w:rsid w:val="001660E8"/>
    <w:rsid w:val="001664DD"/>
    <w:rsid w:val="001665BD"/>
    <w:rsid w:val="001666D8"/>
    <w:rsid w:val="00166A84"/>
    <w:rsid w:val="00166B46"/>
    <w:rsid w:val="00166E03"/>
    <w:rsid w:val="00167719"/>
    <w:rsid w:val="001679B6"/>
    <w:rsid w:val="00167DFD"/>
    <w:rsid w:val="00170BFA"/>
    <w:rsid w:val="00171152"/>
    <w:rsid w:val="001713C2"/>
    <w:rsid w:val="00171EEB"/>
    <w:rsid w:val="001725B4"/>
    <w:rsid w:val="001727EF"/>
    <w:rsid w:val="0017285A"/>
    <w:rsid w:val="001730AB"/>
    <w:rsid w:val="0017325C"/>
    <w:rsid w:val="00173592"/>
    <w:rsid w:val="00173F61"/>
    <w:rsid w:val="001746AE"/>
    <w:rsid w:val="001749B0"/>
    <w:rsid w:val="00174EF2"/>
    <w:rsid w:val="00175AA3"/>
    <w:rsid w:val="00175BDB"/>
    <w:rsid w:val="00176150"/>
    <w:rsid w:val="001765CD"/>
    <w:rsid w:val="001769A0"/>
    <w:rsid w:val="00176A07"/>
    <w:rsid w:val="00176FA9"/>
    <w:rsid w:val="00176FB0"/>
    <w:rsid w:val="00177B60"/>
    <w:rsid w:val="00177D42"/>
    <w:rsid w:val="00180797"/>
    <w:rsid w:val="00180EFC"/>
    <w:rsid w:val="0018136C"/>
    <w:rsid w:val="00181549"/>
    <w:rsid w:val="00181B17"/>
    <w:rsid w:val="0018213B"/>
    <w:rsid w:val="00183256"/>
    <w:rsid w:val="00183743"/>
    <w:rsid w:val="00183BC4"/>
    <w:rsid w:val="00183D17"/>
    <w:rsid w:val="00183DF5"/>
    <w:rsid w:val="00183FE9"/>
    <w:rsid w:val="0018436C"/>
    <w:rsid w:val="001845A5"/>
    <w:rsid w:val="00184E49"/>
    <w:rsid w:val="00184FF3"/>
    <w:rsid w:val="0018547E"/>
    <w:rsid w:val="00185BF1"/>
    <w:rsid w:val="00186338"/>
    <w:rsid w:val="0018648B"/>
    <w:rsid w:val="0018681A"/>
    <w:rsid w:val="001868EB"/>
    <w:rsid w:val="00186A72"/>
    <w:rsid w:val="001879EA"/>
    <w:rsid w:val="00187C86"/>
    <w:rsid w:val="00187DED"/>
    <w:rsid w:val="00190255"/>
    <w:rsid w:val="00190447"/>
    <w:rsid w:val="0019054F"/>
    <w:rsid w:val="001926D2"/>
    <w:rsid w:val="00192B25"/>
    <w:rsid w:val="00192BA0"/>
    <w:rsid w:val="00193652"/>
    <w:rsid w:val="00193CE9"/>
    <w:rsid w:val="00193F48"/>
    <w:rsid w:val="00194089"/>
    <w:rsid w:val="00195244"/>
    <w:rsid w:val="001955E0"/>
    <w:rsid w:val="00195648"/>
    <w:rsid w:val="0019666D"/>
    <w:rsid w:val="00196CC1"/>
    <w:rsid w:val="00197416"/>
    <w:rsid w:val="001A09DB"/>
    <w:rsid w:val="001A10E1"/>
    <w:rsid w:val="001A10E3"/>
    <w:rsid w:val="001A1B5A"/>
    <w:rsid w:val="001A1CD1"/>
    <w:rsid w:val="001A1EB0"/>
    <w:rsid w:val="001A27F3"/>
    <w:rsid w:val="001A297B"/>
    <w:rsid w:val="001A2ACC"/>
    <w:rsid w:val="001A2F10"/>
    <w:rsid w:val="001A37BB"/>
    <w:rsid w:val="001A38D8"/>
    <w:rsid w:val="001A3981"/>
    <w:rsid w:val="001A399E"/>
    <w:rsid w:val="001A3B4B"/>
    <w:rsid w:val="001A3B78"/>
    <w:rsid w:val="001A4D9B"/>
    <w:rsid w:val="001A6323"/>
    <w:rsid w:val="001A635D"/>
    <w:rsid w:val="001A6B8F"/>
    <w:rsid w:val="001A6F59"/>
    <w:rsid w:val="001A743E"/>
    <w:rsid w:val="001B131E"/>
    <w:rsid w:val="001B1CFA"/>
    <w:rsid w:val="001B21A9"/>
    <w:rsid w:val="001B246A"/>
    <w:rsid w:val="001B26E2"/>
    <w:rsid w:val="001B2751"/>
    <w:rsid w:val="001B28DC"/>
    <w:rsid w:val="001B2DFD"/>
    <w:rsid w:val="001B31FE"/>
    <w:rsid w:val="001B32CB"/>
    <w:rsid w:val="001B38C8"/>
    <w:rsid w:val="001B3C0A"/>
    <w:rsid w:val="001B3F8B"/>
    <w:rsid w:val="001B3FE4"/>
    <w:rsid w:val="001B46D9"/>
    <w:rsid w:val="001B564C"/>
    <w:rsid w:val="001B7BB8"/>
    <w:rsid w:val="001B7BBF"/>
    <w:rsid w:val="001B7DF9"/>
    <w:rsid w:val="001C0180"/>
    <w:rsid w:val="001C0268"/>
    <w:rsid w:val="001C05B4"/>
    <w:rsid w:val="001C0D58"/>
    <w:rsid w:val="001C1207"/>
    <w:rsid w:val="001C1296"/>
    <w:rsid w:val="001C12B3"/>
    <w:rsid w:val="001C1F02"/>
    <w:rsid w:val="001C2B20"/>
    <w:rsid w:val="001C312F"/>
    <w:rsid w:val="001C32D2"/>
    <w:rsid w:val="001C34CC"/>
    <w:rsid w:val="001C35C8"/>
    <w:rsid w:val="001C4172"/>
    <w:rsid w:val="001C45ED"/>
    <w:rsid w:val="001C4CA2"/>
    <w:rsid w:val="001C4FFB"/>
    <w:rsid w:val="001C50A0"/>
    <w:rsid w:val="001C5518"/>
    <w:rsid w:val="001C5A7C"/>
    <w:rsid w:val="001C6097"/>
    <w:rsid w:val="001C665A"/>
    <w:rsid w:val="001C6BD4"/>
    <w:rsid w:val="001C6FCD"/>
    <w:rsid w:val="001C7373"/>
    <w:rsid w:val="001C7D07"/>
    <w:rsid w:val="001C7D86"/>
    <w:rsid w:val="001C7D9D"/>
    <w:rsid w:val="001C7E8C"/>
    <w:rsid w:val="001D0A7F"/>
    <w:rsid w:val="001D0DCD"/>
    <w:rsid w:val="001D14C7"/>
    <w:rsid w:val="001D15E5"/>
    <w:rsid w:val="001D19B9"/>
    <w:rsid w:val="001D1A43"/>
    <w:rsid w:val="001D1BDF"/>
    <w:rsid w:val="001D234F"/>
    <w:rsid w:val="001D2895"/>
    <w:rsid w:val="001D28AF"/>
    <w:rsid w:val="001D2F3E"/>
    <w:rsid w:val="001D3B79"/>
    <w:rsid w:val="001D4B38"/>
    <w:rsid w:val="001D56F0"/>
    <w:rsid w:val="001D5EC8"/>
    <w:rsid w:val="001D7705"/>
    <w:rsid w:val="001D7CF6"/>
    <w:rsid w:val="001E07D5"/>
    <w:rsid w:val="001E1151"/>
    <w:rsid w:val="001E142A"/>
    <w:rsid w:val="001E1630"/>
    <w:rsid w:val="001E196F"/>
    <w:rsid w:val="001E2064"/>
    <w:rsid w:val="001E28CC"/>
    <w:rsid w:val="001E310D"/>
    <w:rsid w:val="001E38C3"/>
    <w:rsid w:val="001E3C65"/>
    <w:rsid w:val="001E3EAB"/>
    <w:rsid w:val="001E3F21"/>
    <w:rsid w:val="001E46E3"/>
    <w:rsid w:val="001E4A65"/>
    <w:rsid w:val="001E64A8"/>
    <w:rsid w:val="001E701F"/>
    <w:rsid w:val="001E7341"/>
    <w:rsid w:val="001E79AF"/>
    <w:rsid w:val="001E7B10"/>
    <w:rsid w:val="001F0179"/>
    <w:rsid w:val="001F03AF"/>
    <w:rsid w:val="001F1732"/>
    <w:rsid w:val="001F19C0"/>
    <w:rsid w:val="001F2713"/>
    <w:rsid w:val="001F27B6"/>
    <w:rsid w:val="001F3B84"/>
    <w:rsid w:val="001F3EA4"/>
    <w:rsid w:val="001F4597"/>
    <w:rsid w:val="001F4791"/>
    <w:rsid w:val="001F4925"/>
    <w:rsid w:val="001F5591"/>
    <w:rsid w:val="001F58D1"/>
    <w:rsid w:val="001F5BB5"/>
    <w:rsid w:val="001F6398"/>
    <w:rsid w:val="001F65B8"/>
    <w:rsid w:val="001F67FA"/>
    <w:rsid w:val="001F6986"/>
    <w:rsid w:val="001F6F97"/>
    <w:rsid w:val="001F7086"/>
    <w:rsid w:val="001F7BC7"/>
    <w:rsid w:val="001FD7DF"/>
    <w:rsid w:val="0020035F"/>
    <w:rsid w:val="00200509"/>
    <w:rsid w:val="00200B1F"/>
    <w:rsid w:val="00201406"/>
    <w:rsid w:val="0020162D"/>
    <w:rsid w:val="00202877"/>
    <w:rsid w:val="00202E47"/>
    <w:rsid w:val="00202FFC"/>
    <w:rsid w:val="0020344C"/>
    <w:rsid w:val="002048A6"/>
    <w:rsid w:val="002055D7"/>
    <w:rsid w:val="002057E6"/>
    <w:rsid w:val="00205C97"/>
    <w:rsid w:val="0020612B"/>
    <w:rsid w:val="0020635A"/>
    <w:rsid w:val="0020692F"/>
    <w:rsid w:val="00206B11"/>
    <w:rsid w:val="002074B1"/>
    <w:rsid w:val="00207D19"/>
    <w:rsid w:val="00207D1B"/>
    <w:rsid w:val="00210238"/>
    <w:rsid w:val="00210BAE"/>
    <w:rsid w:val="00210DE2"/>
    <w:rsid w:val="00212809"/>
    <w:rsid w:val="00212C27"/>
    <w:rsid w:val="002132FF"/>
    <w:rsid w:val="00213345"/>
    <w:rsid w:val="00213FA2"/>
    <w:rsid w:val="002147FB"/>
    <w:rsid w:val="00214D07"/>
    <w:rsid w:val="00217271"/>
    <w:rsid w:val="0021BCDB"/>
    <w:rsid w:val="002204A5"/>
    <w:rsid w:val="002208B7"/>
    <w:rsid w:val="002208E6"/>
    <w:rsid w:val="002212CF"/>
    <w:rsid w:val="00221813"/>
    <w:rsid w:val="002219D3"/>
    <w:rsid w:val="00222147"/>
    <w:rsid w:val="002224A5"/>
    <w:rsid w:val="00222BE6"/>
    <w:rsid w:val="00222D2D"/>
    <w:rsid w:val="00222EDC"/>
    <w:rsid w:val="0022384F"/>
    <w:rsid w:val="00223DDC"/>
    <w:rsid w:val="002245F0"/>
    <w:rsid w:val="0022460B"/>
    <w:rsid w:val="00224B2F"/>
    <w:rsid w:val="00224C1C"/>
    <w:rsid w:val="0022501F"/>
    <w:rsid w:val="002258B3"/>
    <w:rsid w:val="002258D4"/>
    <w:rsid w:val="0022593A"/>
    <w:rsid w:val="00226686"/>
    <w:rsid w:val="0022676A"/>
    <w:rsid w:val="00226809"/>
    <w:rsid w:val="0022683E"/>
    <w:rsid w:val="002277A1"/>
    <w:rsid w:val="00227956"/>
    <w:rsid w:val="00227EDB"/>
    <w:rsid w:val="002300B0"/>
    <w:rsid w:val="002300CF"/>
    <w:rsid w:val="002304F8"/>
    <w:rsid w:val="00230D3F"/>
    <w:rsid w:val="00231782"/>
    <w:rsid w:val="002317E6"/>
    <w:rsid w:val="0023191A"/>
    <w:rsid w:val="00231C82"/>
    <w:rsid w:val="00231D59"/>
    <w:rsid w:val="00232256"/>
    <w:rsid w:val="00232282"/>
    <w:rsid w:val="00232368"/>
    <w:rsid w:val="002323D4"/>
    <w:rsid w:val="002324F1"/>
    <w:rsid w:val="0023294A"/>
    <w:rsid w:val="00233438"/>
    <w:rsid w:val="002336E6"/>
    <w:rsid w:val="00233AAA"/>
    <w:rsid w:val="00233F7C"/>
    <w:rsid w:val="00234565"/>
    <w:rsid w:val="002347B9"/>
    <w:rsid w:val="00234818"/>
    <w:rsid w:val="00234898"/>
    <w:rsid w:val="00234DFE"/>
    <w:rsid w:val="0023596B"/>
    <w:rsid w:val="002363F8"/>
    <w:rsid w:val="00236594"/>
    <w:rsid w:val="002367A5"/>
    <w:rsid w:val="00236EBA"/>
    <w:rsid w:val="00237100"/>
    <w:rsid w:val="00237918"/>
    <w:rsid w:val="00240009"/>
    <w:rsid w:val="00240912"/>
    <w:rsid w:val="00240D9A"/>
    <w:rsid w:val="002414B4"/>
    <w:rsid w:val="00241AA9"/>
    <w:rsid w:val="00241E75"/>
    <w:rsid w:val="00242EB1"/>
    <w:rsid w:val="00243A2E"/>
    <w:rsid w:val="00243F29"/>
    <w:rsid w:val="00243FFF"/>
    <w:rsid w:val="00244161"/>
    <w:rsid w:val="00244A49"/>
    <w:rsid w:val="00244A85"/>
    <w:rsid w:val="00244E8D"/>
    <w:rsid w:val="00244EC5"/>
    <w:rsid w:val="00245028"/>
    <w:rsid w:val="002452ED"/>
    <w:rsid w:val="00245307"/>
    <w:rsid w:val="00246046"/>
    <w:rsid w:val="00246383"/>
    <w:rsid w:val="00246397"/>
    <w:rsid w:val="00246A0D"/>
    <w:rsid w:val="00246C5C"/>
    <w:rsid w:val="00246F19"/>
    <w:rsid w:val="002507D6"/>
    <w:rsid w:val="00250F26"/>
    <w:rsid w:val="0025150C"/>
    <w:rsid w:val="00251649"/>
    <w:rsid w:val="00251FB1"/>
    <w:rsid w:val="002522DD"/>
    <w:rsid w:val="0025238B"/>
    <w:rsid w:val="002523C0"/>
    <w:rsid w:val="002527AB"/>
    <w:rsid w:val="00252D59"/>
    <w:rsid w:val="002534FF"/>
    <w:rsid w:val="002537A5"/>
    <w:rsid w:val="00253AF5"/>
    <w:rsid w:val="00253F9E"/>
    <w:rsid w:val="0025433D"/>
    <w:rsid w:val="00254A85"/>
    <w:rsid w:val="00255358"/>
    <w:rsid w:val="00255875"/>
    <w:rsid w:val="00255E92"/>
    <w:rsid w:val="00255EB1"/>
    <w:rsid w:val="00256545"/>
    <w:rsid w:val="0025720A"/>
    <w:rsid w:val="00257746"/>
    <w:rsid w:val="00257878"/>
    <w:rsid w:val="00260028"/>
    <w:rsid w:val="002600AB"/>
    <w:rsid w:val="002605FA"/>
    <w:rsid w:val="00260A47"/>
    <w:rsid w:val="00261012"/>
    <w:rsid w:val="00262071"/>
    <w:rsid w:val="00262515"/>
    <w:rsid w:val="00262547"/>
    <w:rsid w:val="00262871"/>
    <w:rsid w:val="0026294F"/>
    <w:rsid w:val="00263BEC"/>
    <w:rsid w:val="0026435D"/>
    <w:rsid w:val="0026472D"/>
    <w:rsid w:val="00265082"/>
    <w:rsid w:val="00265619"/>
    <w:rsid w:val="00265813"/>
    <w:rsid w:val="002660D9"/>
    <w:rsid w:val="00266350"/>
    <w:rsid w:val="00266F4A"/>
    <w:rsid w:val="00270CF7"/>
    <w:rsid w:val="00270FC4"/>
    <w:rsid w:val="002710FE"/>
    <w:rsid w:val="00271C43"/>
    <w:rsid w:val="00271E87"/>
    <w:rsid w:val="00271F93"/>
    <w:rsid w:val="0027226E"/>
    <w:rsid w:val="00272608"/>
    <w:rsid w:val="00272770"/>
    <w:rsid w:val="0027324F"/>
    <w:rsid w:val="002736BE"/>
    <w:rsid w:val="00273A5A"/>
    <w:rsid w:val="00273D1A"/>
    <w:rsid w:val="00273E59"/>
    <w:rsid w:val="00274064"/>
    <w:rsid w:val="00274256"/>
    <w:rsid w:val="00275079"/>
    <w:rsid w:val="00275FBD"/>
    <w:rsid w:val="00276839"/>
    <w:rsid w:val="00276938"/>
    <w:rsid w:val="002772B3"/>
    <w:rsid w:val="00277E5A"/>
    <w:rsid w:val="00277EF1"/>
    <w:rsid w:val="002807B6"/>
    <w:rsid w:val="00280AC8"/>
    <w:rsid w:val="00282439"/>
    <w:rsid w:val="00282AC4"/>
    <w:rsid w:val="00282B6A"/>
    <w:rsid w:val="00282F57"/>
    <w:rsid w:val="00283683"/>
    <w:rsid w:val="0028427A"/>
    <w:rsid w:val="00284AD3"/>
    <w:rsid w:val="002857BC"/>
    <w:rsid w:val="00285EB6"/>
    <w:rsid w:val="002860C4"/>
    <w:rsid w:val="00286F77"/>
    <w:rsid w:val="002870D3"/>
    <w:rsid w:val="00287F12"/>
    <w:rsid w:val="002905DD"/>
    <w:rsid w:val="002906E9"/>
    <w:rsid w:val="00290BEA"/>
    <w:rsid w:val="00291B0A"/>
    <w:rsid w:val="0029250C"/>
    <w:rsid w:val="0029408A"/>
    <w:rsid w:val="002940AD"/>
    <w:rsid w:val="00294664"/>
    <w:rsid w:val="0029484E"/>
    <w:rsid w:val="00294C9D"/>
    <w:rsid w:val="00294D1E"/>
    <w:rsid w:val="00294E7E"/>
    <w:rsid w:val="002953A3"/>
    <w:rsid w:val="00295D5A"/>
    <w:rsid w:val="00296290"/>
    <w:rsid w:val="00296D30"/>
    <w:rsid w:val="00296EA4"/>
    <w:rsid w:val="002971CA"/>
    <w:rsid w:val="0029732D"/>
    <w:rsid w:val="00297E25"/>
    <w:rsid w:val="00297F7A"/>
    <w:rsid w:val="002A0725"/>
    <w:rsid w:val="002A08EC"/>
    <w:rsid w:val="002A1EEB"/>
    <w:rsid w:val="002A1F9A"/>
    <w:rsid w:val="002A2158"/>
    <w:rsid w:val="002A2A58"/>
    <w:rsid w:val="002A2EBD"/>
    <w:rsid w:val="002A3273"/>
    <w:rsid w:val="002A3A44"/>
    <w:rsid w:val="002A4764"/>
    <w:rsid w:val="002A479A"/>
    <w:rsid w:val="002A484F"/>
    <w:rsid w:val="002A4CAD"/>
    <w:rsid w:val="002A4EF2"/>
    <w:rsid w:val="002A538F"/>
    <w:rsid w:val="002A547E"/>
    <w:rsid w:val="002A6476"/>
    <w:rsid w:val="002A692E"/>
    <w:rsid w:val="002A7640"/>
    <w:rsid w:val="002A7B4B"/>
    <w:rsid w:val="002A7EF1"/>
    <w:rsid w:val="002A7F0E"/>
    <w:rsid w:val="002B0192"/>
    <w:rsid w:val="002B09C6"/>
    <w:rsid w:val="002B0ADA"/>
    <w:rsid w:val="002B0F6B"/>
    <w:rsid w:val="002B1457"/>
    <w:rsid w:val="002B2C4B"/>
    <w:rsid w:val="002B2C8E"/>
    <w:rsid w:val="002B2D79"/>
    <w:rsid w:val="002B3AF4"/>
    <w:rsid w:val="002B3EE0"/>
    <w:rsid w:val="002B41AA"/>
    <w:rsid w:val="002B4321"/>
    <w:rsid w:val="002B468F"/>
    <w:rsid w:val="002B490B"/>
    <w:rsid w:val="002B5D8E"/>
    <w:rsid w:val="002B6409"/>
    <w:rsid w:val="002B652E"/>
    <w:rsid w:val="002B7AF2"/>
    <w:rsid w:val="002B7D46"/>
    <w:rsid w:val="002C101E"/>
    <w:rsid w:val="002C13BA"/>
    <w:rsid w:val="002C2472"/>
    <w:rsid w:val="002C324F"/>
    <w:rsid w:val="002C38E1"/>
    <w:rsid w:val="002C3CDD"/>
    <w:rsid w:val="002C3EC0"/>
    <w:rsid w:val="002C4D16"/>
    <w:rsid w:val="002C5089"/>
    <w:rsid w:val="002C5578"/>
    <w:rsid w:val="002C5CC0"/>
    <w:rsid w:val="002C5FDE"/>
    <w:rsid w:val="002C61E1"/>
    <w:rsid w:val="002C64E4"/>
    <w:rsid w:val="002C6CF3"/>
    <w:rsid w:val="002C724B"/>
    <w:rsid w:val="002C77D4"/>
    <w:rsid w:val="002D072D"/>
    <w:rsid w:val="002D1068"/>
    <w:rsid w:val="002D2104"/>
    <w:rsid w:val="002D2828"/>
    <w:rsid w:val="002D2962"/>
    <w:rsid w:val="002D2A21"/>
    <w:rsid w:val="002D4123"/>
    <w:rsid w:val="002D485C"/>
    <w:rsid w:val="002D5C07"/>
    <w:rsid w:val="002D5F68"/>
    <w:rsid w:val="002D63B1"/>
    <w:rsid w:val="002D640D"/>
    <w:rsid w:val="002D68CF"/>
    <w:rsid w:val="002D6BC1"/>
    <w:rsid w:val="002D6CAC"/>
    <w:rsid w:val="002D6E34"/>
    <w:rsid w:val="002D7547"/>
    <w:rsid w:val="002D7C18"/>
    <w:rsid w:val="002E02C1"/>
    <w:rsid w:val="002E0418"/>
    <w:rsid w:val="002E0C23"/>
    <w:rsid w:val="002E2EBD"/>
    <w:rsid w:val="002E2FDC"/>
    <w:rsid w:val="002E33CC"/>
    <w:rsid w:val="002E45A9"/>
    <w:rsid w:val="002E4635"/>
    <w:rsid w:val="002E4F54"/>
    <w:rsid w:val="002E536F"/>
    <w:rsid w:val="002E5BAA"/>
    <w:rsid w:val="002E652C"/>
    <w:rsid w:val="002E6AC9"/>
    <w:rsid w:val="002E76D6"/>
    <w:rsid w:val="002E77C1"/>
    <w:rsid w:val="002F00B4"/>
    <w:rsid w:val="002F03E1"/>
    <w:rsid w:val="002F0728"/>
    <w:rsid w:val="002F0A7B"/>
    <w:rsid w:val="002F0CE3"/>
    <w:rsid w:val="002F0FC3"/>
    <w:rsid w:val="002F149F"/>
    <w:rsid w:val="002F1E12"/>
    <w:rsid w:val="002F1E20"/>
    <w:rsid w:val="002F20C3"/>
    <w:rsid w:val="002F2323"/>
    <w:rsid w:val="002F283E"/>
    <w:rsid w:val="002F2B70"/>
    <w:rsid w:val="002F2BD1"/>
    <w:rsid w:val="002F38D4"/>
    <w:rsid w:val="002F3EBA"/>
    <w:rsid w:val="002F4061"/>
    <w:rsid w:val="002F40FE"/>
    <w:rsid w:val="002F4200"/>
    <w:rsid w:val="002F422F"/>
    <w:rsid w:val="002F44DA"/>
    <w:rsid w:val="002F46F7"/>
    <w:rsid w:val="002F5104"/>
    <w:rsid w:val="002F58AB"/>
    <w:rsid w:val="002F59F9"/>
    <w:rsid w:val="002F5D3C"/>
    <w:rsid w:val="002F651F"/>
    <w:rsid w:val="002F6552"/>
    <w:rsid w:val="002F6626"/>
    <w:rsid w:val="002F69CA"/>
    <w:rsid w:val="002F6BCC"/>
    <w:rsid w:val="002F7163"/>
    <w:rsid w:val="00300FF0"/>
    <w:rsid w:val="00301466"/>
    <w:rsid w:val="00301536"/>
    <w:rsid w:val="00301A2B"/>
    <w:rsid w:val="00301BE8"/>
    <w:rsid w:val="00302343"/>
    <w:rsid w:val="00302631"/>
    <w:rsid w:val="00303A85"/>
    <w:rsid w:val="00303CA2"/>
    <w:rsid w:val="00304034"/>
    <w:rsid w:val="003040BA"/>
    <w:rsid w:val="00304416"/>
    <w:rsid w:val="0030530C"/>
    <w:rsid w:val="00305A1A"/>
    <w:rsid w:val="00305EFC"/>
    <w:rsid w:val="0030639B"/>
    <w:rsid w:val="0030724D"/>
    <w:rsid w:val="00307721"/>
    <w:rsid w:val="00307FFA"/>
    <w:rsid w:val="003107B0"/>
    <w:rsid w:val="00310A25"/>
    <w:rsid w:val="00310AA6"/>
    <w:rsid w:val="00311400"/>
    <w:rsid w:val="0031176F"/>
    <w:rsid w:val="00311EC8"/>
    <w:rsid w:val="00312431"/>
    <w:rsid w:val="00312606"/>
    <w:rsid w:val="00312D06"/>
    <w:rsid w:val="00313185"/>
    <w:rsid w:val="003132B8"/>
    <w:rsid w:val="00313497"/>
    <w:rsid w:val="003135E3"/>
    <w:rsid w:val="003145A4"/>
    <w:rsid w:val="00315109"/>
    <w:rsid w:val="0031551B"/>
    <w:rsid w:val="0031608B"/>
    <w:rsid w:val="00316154"/>
    <w:rsid w:val="003169B2"/>
    <w:rsid w:val="00316A3D"/>
    <w:rsid w:val="00317486"/>
    <w:rsid w:val="003201B0"/>
    <w:rsid w:val="00320306"/>
    <w:rsid w:val="003204EA"/>
    <w:rsid w:val="00320596"/>
    <w:rsid w:val="0032066D"/>
    <w:rsid w:val="00320B24"/>
    <w:rsid w:val="003214DF"/>
    <w:rsid w:val="00321673"/>
    <w:rsid w:val="00321EE1"/>
    <w:rsid w:val="00322302"/>
    <w:rsid w:val="00323238"/>
    <w:rsid w:val="00323D3D"/>
    <w:rsid w:val="00324305"/>
    <w:rsid w:val="003249AD"/>
    <w:rsid w:val="003257F0"/>
    <w:rsid w:val="00325B8C"/>
    <w:rsid w:val="00325D04"/>
    <w:rsid w:val="00325F07"/>
    <w:rsid w:val="003260F5"/>
    <w:rsid w:val="0032652A"/>
    <w:rsid w:val="00326B08"/>
    <w:rsid w:val="00326D24"/>
    <w:rsid w:val="00327529"/>
    <w:rsid w:val="00327607"/>
    <w:rsid w:val="0033034A"/>
    <w:rsid w:val="003303B0"/>
    <w:rsid w:val="003306E2"/>
    <w:rsid w:val="00330CA3"/>
    <w:rsid w:val="0033101F"/>
    <w:rsid w:val="00331544"/>
    <w:rsid w:val="0033197F"/>
    <w:rsid w:val="003323C7"/>
    <w:rsid w:val="00332918"/>
    <w:rsid w:val="00332BBF"/>
    <w:rsid w:val="00332F54"/>
    <w:rsid w:val="003330F7"/>
    <w:rsid w:val="0033311A"/>
    <w:rsid w:val="0033362B"/>
    <w:rsid w:val="00333702"/>
    <w:rsid w:val="003341C5"/>
    <w:rsid w:val="00334A94"/>
    <w:rsid w:val="00334CB5"/>
    <w:rsid w:val="00334DD1"/>
    <w:rsid w:val="00335382"/>
    <w:rsid w:val="00336562"/>
    <w:rsid w:val="003365AE"/>
    <w:rsid w:val="00336B3B"/>
    <w:rsid w:val="00336C0B"/>
    <w:rsid w:val="00337158"/>
    <w:rsid w:val="003373BF"/>
    <w:rsid w:val="00337491"/>
    <w:rsid w:val="00337AF3"/>
    <w:rsid w:val="0034031B"/>
    <w:rsid w:val="003407F7"/>
    <w:rsid w:val="00340C20"/>
    <w:rsid w:val="00341622"/>
    <w:rsid w:val="00341B40"/>
    <w:rsid w:val="0034283E"/>
    <w:rsid w:val="00342905"/>
    <w:rsid w:val="003431B2"/>
    <w:rsid w:val="003432CB"/>
    <w:rsid w:val="0034382F"/>
    <w:rsid w:val="00343DD0"/>
    <w:rsid w:val="003448C2"/>
    <w:rsid w:val="00344993"/>
    <w:rsid w:val="00345000"/>
    <w:rsid w:val="00345029"/>
    <w:rsid w:val="00345042"/>
    <w:rsid w:val="0034573F"/>
    <w:rsid w:val="00347788"/>
    <w:rsid w:val="003501FC"/>
    <w:rsid w:val="00350473"/>
    <w:rsid w:val="00350787"/>
    <w:rsid w:val="00350896"/>
    <w:rsid w:val="00350EFF"/>
    <w:rsid w:val="003513B0"/>
    <w:rsid w:val="00351D12"/>
    <w:rsid w:val="003521A9"/>
    <w:rsid w:val="0035282A"/>
    <w:rsid w:val="003529E1"/>
    <w:rsid w:val="00352BE5"/>
    <w:rsid w:val="00353C53"/>
    <w:rsid w:val="00353C9E"/>
    <w:rsid w:val="003541D7"/>
    <w:rsid w:val="00354B7A"/>
    <w:rsid w:val="00354F1C"/>
    <w:rsid w:val="0035616E"/>
    <w:rsid w:val="00356481"/>
    <w:rsid w:val="003564D6"/>
    <w:rsid w:val="003604B2"/>
    <w:rsid w:val="00360DAB"/>
    <w:rsid w:val="003615D2"/>
    <w:rsid w:val="00362CF5"/>
    <w:rsid w:val="00362E1F"/>
    <w:rsid w:val="003637D5"/>
    <w:rsid w:val="00363B61"/>
    <w:rsid w:val="003647A8"/>
    <w:rsid w:val="00364944"/>
    <w:rsid w:val="00364DC3"/>
    <w:rsid w:val="00364FD1"/>
    <w:rsid w:val="00365374"/>
    <w:rsid w:val="0036537A"/>
    <w:rsid w:val="00365D83"/>
    <w:rsid w:val="00365E86"/>
    <w:rsid w:val="0036666A"/>
    <w:rsid w:val="003668B9"/>
    <w:rsid w:val="00366F86"/>
    <w:rsid w:val="00367736"/>
    <w:rsid w:val="00367BC5"/>
    <w:rsid w:val="00367DA9"/>
    <w:rsid w:val="00370219"/>
    <w:rsid w:val="00370304"/>
    <w:rsid w:val="00370A9D"/>
    <w:rsid w:val="00372068"/>
    <w:rsid w:val="00372DC6"/>
    <w:rsid w:val="00373839"/>
    <w:rsid w:val="00373A06"/>
    <w:rsid w:val="003744C9"/>
    <w:rsid w:val="003744EE"/>
    <w:rsid w:val="00374780"/>
    <w:rsid w:val="00375B85"/>
    <w:rsid w:val="00375ED0"/>
    <w:rsid w:val="00375F84"/>
    <w:rsid w:val="003763F0"/>
    <w:rsid w:val="00376D65"/>
    <w:rsid w:val="003772E5"/>
    <w:rsid w:val="00377341"/>
    <w:rsid w:val="00377BEA"/>
    <w:rsid w:val="003803D3"/>
    <w:rsid w:val="00380AB8"/>
    <w:rsid w:val="003813BB"/>
    <w:rsid w:val="00381507"/>
    <w:rsid w:val="0038195B"/>
    <w:rsid w:val="00381970"/>
    <w:rsid w:val="00381D71"/>
    <w:rsid w:val="0038236F"/>
    <w:rsid w:val="00382EF9"/>
    <w:rsid w:val="0038322B"/>
    <w:rsid w:val="00383452"/>
    <w:rsid w:val="0038356E"/>
    <w:rsid w:val="00383602"/>
    <w:rsid w:val="00383610"/>
    <w:rsid w:val="00383BC7"/>
    <w:rsid w:val="0038408E"/>
    <w:rsid w:val="003841EC"/>
    <w:rsid w:val="003843D9"/>
    <w:rsid w:val="00384D55"/>
    <w:rsid w:val="00385990"/>
    <w:rsid w:val="00386922"/>
    <w:rsid w:val="00387B1C"/>
    <w:rsid w:val="00390301"/>
    <w:rsid w:val="00390451"/>
    <w:rsid w:val="00390DD1"/>
    <w:rsid w:val="00391568"/>
    <w:rsid w:val="00391C0B"/>
    <w:rsid w:val="003920F7"/>
    <w:rsid w:val="00392636"/>
    <w:rsid w:val="00392723"/>
    <w:rsid w:val="00393C0D"/>
    <w:rsid w:val="0039411C"/>
    <w:rsid w:val="00394164"/>
    <w:rsid w:val="00394954"/>
    <w:rsid w:val="00395A8D"/>
    <w:rsid w:val="003964A3"/>
    <w:rsid w:val="00396FFE"/>
    <w:rsid w:val="00397207"/>
    <w:rsid w:val="00397457"/>
    <w:rsid w:val="0039751B"/>
    <w:rsid w:val="00397C33"/>
    <w:rsid w:val="00397D53"/>
    <w:rsid w:val="00397F9F"/>
    <w:rsid w:val="003A093E"/>
    <w:rsid w:val="003A18C4"/>
    <w:rsid w:val="003A1AF2"/>
    <w:rsid w:val="003A1B91"/>
    <w:rsid w:val="003A2F69"/>
    <w:rsid w:val="003A2FF2"/>
    <w:rsid w:val="003A3196"/>
    <w:rsid w:val="003A39D0"/>
    <w:rsid w:val="003A452D"/>
    <w:rsid w:val="003A4AD4"/>
    <w:rsid w:val="003A4B01"/>
    <w:rsid w:val="003A4BC6"/>
    <w:rsid w:val="003A4EF3"/>
    <w:rsid w:val="003A506C"/>
    <w:rsid w:val="003A5584"/>
    <w:rsid w:val="003A59D5"/>
    <w:rsid w:val="003A5DB5"/>
    <w:rsid w:val="003A5F5E"/>
    <w:rsid w:val="003A6339"/>
    <w:rsid w:val="003A65E2"/>
    <w:rsid w:val="003A792B"/>
    <w:rsid w:val="003A79E0"/>
    <w:rsid w:val="003A7DF4"/>
    <w:rsid w:val="003A7EEB"/>
    <w:rsid w:val="003B0113"/>
    <w:rsid w:val="003B0537"/>
    <w:rsid w:val="003B073F"/>
    <w:rsid w:val="003B0D08"/>
    <w:rsid w:val="003B1858"/>
    <w:rsid w:val="003B252E"/>
    <w:rsid w:val="003B25CD"/>
    <w:rsid w:val="003B2E49"/>
    <w:rsid w:val="003B2FCA"/>
    <w:rsid w:val="003B3741"/>
    <w:rsid w:val="003B3C92"/>
    <w:rsid w:val="003B4898"/>
    <w:rsid w:val="003B4A5E"/>
    <w:rsid w:val="003B4A95"/>
    <w:rsid w:val="003B4B3A"/>
    <w:rsid w:val="003B4E03"/>
    <w:rsid w:val="003B4FB5"/>
    <w:rsid w:val="003B5B37"/>
    <w:rsid w:val="003B5EC5"/>
    <w:rsid w:val="003B6130"/>
    <w:rsid w:val="003B634F"/>
    <w:rsid w:val="003B654C"/>
    <w:rsid w:val="003B687B"/>
    <w:rsid w:val="003B7246"/>
    <w:rsid w:val="003C19F1"/>
    <w:rsid w:val="003C1AE5"/>
    <w:rsid w:val="003C1B91"/>
    <w:rsid w:val="003C21F2"/>
    <w:rsid w:val="003C2880"/>
    <w:rsid w:val="003C2AD0"/>
    <w:rsid w:val="003C3B3F"/>
    <w:rsid w:val="003C3C1D"/>
    <w:rsid w:val="003C4094"/>
    <w:rsid w:val="003C4578"/>
    <w:rsid w:val="003C4C53"/>
    <w:rsid w:val="003C608B"/>
    <w:rsid w:val="003C63D3"/>
    <w:rsid w:val="003C6DFB"/>
    <w:rsid w:val="003C6F6E"/>
    <w:rsid w:val="003C7BE6"/>
    <w:rsid w:val="003C7D60"/>
    <w:rsid w:val="003D121B"/>
    <w:rsid w:val="003D122F"/>
    <w:rsid w:val="003D1A25"/>
    <w:rsid w:val="003D1EB9"/>
    <w:rsid w:val="003D346C"/>
    <w:rsid w:val="003D47E7"/>
    <w:rsid w:val="003D53E4"/>
    <w:rsid w:val="003D56B7"/>
    <w:rsid w:val="003D59F8"/>
    <w:rsid w:val="003D5A11"/>
    <w:rsid w:val="003D6582"/>
    <w:rsid w:val="003D6B27"/>
    <w:rsid w:val="003D7E04"/>
    <w:rsid w:val="003E00AA"/>
    <w:rsid w:val="003E02A4"/>
    <w:rsid w:val="003E02D7"/>
    <w:rsid w:val="003E0F56"/>
    <w:rsid w:val="003E1BD5"/>
    <w:rsid w:val="003E1EAD"/>
    <w:rsid w:val="003E30A5"/>
    <w:rsid w:val="003E33BD"/>
    <w:rsid w:val="003E34FF"/>
    <w:rsid w:val="003E37D7"/>
    <w:rsid w:val="003E38F0"/>
    <w:rsid w:val="003E4EED"/>
    <w:rsid w:val="003E5121"/>
    <w:rsid w:val="003E55BF"/>
    <w:rsid w:val="003E644C"/>
    <w:rsid w:val="003E687E"/>
    <w:rsid w:val="003E6949"/>
    <w:rsid w:val="003E6CAB"/>
    <w:rsid w:val="003E7CA2"/>
    <w:rsid w:val="003F0061"/>
    <w:rsid w:val="003F0873"/>
    <w:rsid w:val="003F0BD6"/>
    <w:rsid w:val="003F1BA3"/>
    <w:rsid w:val="003F1F05"/>
    <w:rsid w:val="003F3374"/>
    <w:rsid w:val="003F3921"/>
    <w:rsid w:val="003F3E4D"/>
    <w:rsid w:val="003F3E66"/>
    <w:rsid w:val="003F547F"/>
    <w:rsid w:val="003F597A"/>
    <w:rsid w:val="003F59D5"/>
    <w:rsid w:val="003F5DC2"/>
    <w:rsid w:val="003F6963"/>
    <w:rsid w:val="003F6FA6"/>
    <w:rsid w:val="003F708E"/>
    <w:rsid w:val="003F712C"/>
    <w:rsid w:val="003F7AE3"/>
    <w:rsid w:val="003F7C6B"/>
    <w:rsid w:val="003F7CCA"/>
    <w:rsid w:val="003F7CEE"/>
    <w:rsid w:val="0040148F"/>
    <w:rsid w:val="00402C32"/>
    <w:rsid w:val="00402D2E"/>
    <w:rsid w:val="00402DBA"/>
    <w:rsid w:val="00403817"/>
    <w:rsid w:val="0040384F"/>
    <w:rsid w:val="00403DE0"/>
    <w:rsid w:val="00403E73"/>
    <w:rsid w:val="0040451C"/>
    <w:rsid w:val="00404AAD"/>
    <w:rsid w:val="00404DE3"/>
    <w:rsid w:val="0040523B"/>
    <w:rsid w:val="00405447"/>
    <w:rsid w:val="00406226"/>
    <w:rsid w:val="004067B9"/>
    <w:rsid w:val="00407146"/>
    <w:rsid w:val="0040741B"/>
    <w:rsid w:val="0040777F"/>
    <w:rsid w:val="00407841"/>
    <w:rsid w:val="0040784E"/>
    <w:rsid w:val="004101B4"/>
    <w:rsid w:val="0041054E"/>
    <w:rsid w:val="0041071E"/>
    <w:rsid w:val="00411255"/>
    <w:rsid w:val="0041287B"/>
    <w:rsid w:val="00412A77"/>
    <w:rsid w:val="00412B3D"/>
    <w:rsid w:val="00412C79"/>
    <w:rsid w:val="00413924"/>
    <w:rsid w:val="00413CCA"/>
    <w:rsid w:val="00413DAB"/>
    <w:rsid w:val="004149A6"/>
    <w:rsid w:val="00414CFC"/>
    <w:rsid w:val="004159DB"/>
    <w:rsid w:val="00415D3A"/>
    <w:rsid w:val="00416352"/>
    <w:rsid w:val="00416674"/>
    <w:rsid w:val="0041685F"/>
    <w:rsid w:val="00416B1C"/>
    <w:rsid w:val="00416BC8"/>
    <w:rsid w:val="00417100"/>
    <w:rsid w:val="00417414"/>
    <w:rsid w:val="004178E7"/>
    <w:rsid w:val="00417CBF"/>
    <w:rsid w:val="00417F86"/>
    <w:rsid w:val="004203ED"/>
    <w:rsid w:val="004204C2"/>
    <w:rsid w:val="00421051"/>
    <w:rsid w:val="004210C1"/>
    <w:rsid w:val="004219AB"/>
    <w:rsid w:val="00421BAB"/>
    <w:rsid w:val="00421FBB"/>
    <w:rsid w:val="00423130"/>
    <w:rsid w:val="004232C9"/>
    <w:rsid w:val="004233B6"/>
    <w:rsid w:val="00423407"/>
    <w:rsid w:val="0042379E"/>
    <w:rsid w:val="00423823"/>
    <w:rsid w:val="00424637"/>
    <w:rsid w:val="004246DD"/>
    <w:rsid w:val="004247B5"/>
    <w:rsid w:val="0042521B"/>
    <w:rsid w:val="00425342"/>
    <w:rsid w:val="0042549E"/>
    <w:rsid w:val="004260AF"/>
    <w:rsid w:val="00426699"/>
    <w:rsid w:val="004268E5"/>
    <w:rsid w:val="00426981"/>
    <w:rsid w:val="00426A04"/>
    <w:rsid w:val="00426CD3"/>
    <w:rsid w:val="00426CE6"/>
    <w:rsid w:val="00426E29"/>
    <w:rsid w:val="004277F7"/>
    <w:rsid w:val="004302EF"/>
    <w:rsid w:val="00430411"/>
    <w:rsid w:val="00430C72"/>
    <w:rsid w:val="00430F0F"/>
    <w:rsid w:val="00431283"/>
    <w:rsid w:val="004312CF"/>
    <w:rsid w:val="00431779"/>
    <w:rsid w:val="004319B2"/>
    <w:rsid w:val="00433993"/>
    <w:rsid w:val="00433CA9"/>
    <w:rsid w:val="004349BD"/>
    <w:rsid w:val="00434ABE"/>
    <w:rsid w:val="00434D8D"/>
    <w:rsid w:val="004352DA"/>
    <w:rsid w:val="004357E0"/>
    <w:rsid w:val="00435C4E"/>
    <w:rsid w:val="00435E44"/>
    <w:rsid w:val="00436528"/>
    <w:rsid w:val="0043687E"/>
    <w:rsid w:val="00436884"/>
    <w:rsid w:val="0043728B"/>
    <w:rsid w:val="004373AF"/>
    <w:rsid w:val="00437A0F"/>
    <w:rsid w:val="004401E4"/>
    <w:rsid w:val="00440BE6"/>
    <w:rsid w:val="00441010"/>
    <w:rsid w:val="004410D0"/>
    <w:rsid w:val="004414C8"/>
    <w:rsid w:val="00441628"/>
    <w:rsid w:val="00441CBE"/>
    <w:rsid w:val="00441DD3"/>
    <w:rsid w:val="00441E5E"/>
    <w:rsid w:val="00441E8D"/>
    <w:rsid w:val="00442542"/>
    <w:rsid w:val="0044269A"/>
    <w:rsid w:val="00442909"/>
    <w:rsid w:val="00442CF2"/>
    <w:rsid w:val="0044370B"/>
    <w:rsid w:val="0044403F"/>
    <w:rsid w:val="00444103"/>
    <w:rsid w:val="0044450F"/>
    <w:rsid w:val="00444BF6"/>
    <w:rsid w:val="00446E7C"/>
    <w:rsid w:val="004472A2"/>
    <w:rsid w:val="004474E0"/>
    <w:rsid w:val="004476EA"/>
    <w:rsid w:val="0045108C"/>
    <w:rsid w:val="00452AAC"/>
    <w:rsid w:val="00452E4A"/>
    <w:rsid w:val="00453111"/>
    <w:rsid w:val="00454251"/>
    <w:rsid w:val="00454686"/>
    <w:rsid w:val="004547B2"/>
    <w:rsid w:val="004549CB"/>
    <w:rsid w:val="00454AFD"/>
    <w:rsid w:val="00454B39"/>
    <w:rsid w:val="00454BF0"/>
    <w:rsid w:val="00454E19"/>
    <w:rsid w:val="00454E2B"/>
    <w:rsid w:val="004551C7"/>
    <w:rsid w:val="00455F75"/>
    <w:rsid w:val="004560AA"/>
    <w:rsid w:val="004563CD"/>
    <w:rsid w:val="00456D3D"/>
    <w:rsid w:val="00457606"/>
    <w:rsid w:val="00460078"/>
    <w:rsid w:val="00460109"/>
    <w:rsid w:val="00460C57"/>
    <w:rsid w:val="00461044"/>
    <w:rsid w:val="0046106F"/>
    <w:rsid w:val="00461AD7"/>
    <w:rsid w:val="00462006"/>
    <w:rsid w:val="0046220B"/>
    <w:rsid w:val="0046233E"/>
    <w:rsid w:val="00463DA4"/>
    <w:rsid w:val="0046436B"/>
    <w:rsid w:val="004645AD"/>
    <w:rsid w:val="00464947"/>
    <w:rsid w:val="00464B10"/>
    <w:rsid w:val="00464F84"/>
    <w:rsid w:val="0046530A"/>
    <w:rsid w:val="004655D5"/>
    <w:rsid w:val="004659A0"/>
    <w:rsid w:val="00466089"/>
    <w:rsid w:val="00466123"/>
    <w:rsid w:val="00466201"/>
    <w:rsid w:val="00466B9F"/>
    <w:rsid w:val="0046727D"/>
    <w:rsid w:val="004675A4"/>
    <w:rsid w:val="0047058A"/>
    <w:rsid w:val="00471A5B"/>
    <w:rsid w:val="00472B7E"/>
    <w:rsid w:val="00473457"/>
    <w:rsid w:val="004736DB"/>
    <w:rsid w:val="00473708"/>
    <w:rsid w:val="00473F1A"/>
    <w:rsid w:val="0047444F"/>
    <w:rsid w:val="00475397"/>
    <w:rsid w:val="004754B5"/>
    <w:rsid w:val="004754D9"/>
    <w:rsid w:val="00475981"/>
    <w:rsid w:val="004760A5"/>
    <w:rsid w:val="004762EB"/>
    <w:rsid w:val="0047656A"/>
    <w:rsid w:val="00476B6D"/>
    <w:rsid w:val="00476CC9"/>
    <w:rsid w:val="00476CE4"/>
    <w:rsid w:val="00477063"/>
    <w:rsid w:val="00477914"/>
    <w:rsid w:val="00477F0E"/>
    <w:rsid w:val="0048018D"/>
    <w:rsid w:val="00480AB8"/>
    <w:rsid w:val="00480AF6"/>
    <w:rsid w:val="00480C4A"/>
    <w:rsid w:val="0048128A"/>
    <w:rsid w:val="0048206F"/>
    <w:rsid w:val="004821F8"/>
    <w:rsid w:val="004824AC"/>
    <w:rsid w:val="004824EE"/>
    <w:rsid w:val="004827C4"/>
    <w:rsid w:val="0048280A"/>
    <w:rsid w:val="00483166"/>
    <w:rsid w:val="004833CC"/>
    <w:rsid w:val="0048442A"/>
    <w:rsid w:val="00484691"/>
    <w:rsid w:val="00484A6A"/>
    <w:rsid w:val="00484BF3"/>
    <w:rsid w:val="00484DAF"/>
    <w:rsid w:val="00485333"/>
    <w:rsid w:val="00486261"/>
    <w:rsid w:val="00486513"/>
    <w:rsid w:val="00487396"/>
    <w:rsid w:val="004874B1"/>
    <w:rsid w:val="00487645"/>
    <w:rsid w:val="00487860"/>
    <w:rsid w:val="00487A28"/>
    <w:rsid w:val="00487B28"/>
    <w:rsid w:val="00487C78"/>
    <w:rsid w:val="00490100"/>
    <w:rsid w:val="00490634"/>
    <w:rsid w:val="00490CE2"/>
    <w:rsid w:val="00492594"/>
    <w:rsid w:val="00492645"/>
    <w:rsid w:val="00492B24"/>
    <w:rsid w:val="0049309A"/>
    <w:rsid w:val="00493356"/>
    <w:rsid w:val="0049356C"/>
    <w:rsid w:val="00493D34"/>
    <w:rsid w:val="00494942"/>
    <w:rsid w:val="00494B80"/>
    <w:rsid w:val="00495229"/>
    <w:rsid w:val="00495908"/>
    <w:rsid w:val="00495B3F"/>
    <w:rsid w:val="00496132"/>
    <w:rsid w:val="0049618B"/>
    <w:rsid w:val="00496441"/>
    <w:rsid w:val="0049692E"/>
    <w:rsid w:val="00496DF9"/>
    <w:rsid w:val="004970FA"/>
    <w:rsid w:val="004A02F9"/>
    <w:rsid w:val="004A0401"/>
    <w:rsid w:val="004A0817"/>
    <w:rsid w:val="004A08CF"/>
    <w:rsid w:val="004A0B43"/>
    <w:rsid w:val="004A0F2C"/>
    <w:rsid w:val="004A250A"/>
    <w:rsid w:val="004A2784"/>
    <w:rsid w:val="004A2FCA"/>
    <w:rsid w:val="004A309C"/>
    <w:rsid w:val="004A30ED"/>
    <w:rsid w:val="004A32AC"/>
    <w:rsid w:val="004A343D"/>
    <w:rsid w:val="004A3835"/>
    <w:rsid w:val="004A3C39"/>
    <w:rsid w:val="004A3D92"/>
    <w:rsid w:val="004A41B3"/>
    <w:rsid w:val="004A4B67"/>
    <w:rsid w:val="004A4DEB"/>
    <w:rsid w:val="004A5834"/>
    <w:rsid w:val="004A5926"/>
    <w:rsid w:val="004A59AA"/>
    <w:rsid w:val="004A625A"/>
    <w:rsid w:val="004A637C"/>
    <w:rsid w:val="004B09FF"/>
    <w:rsid w:val="004B0AC5"/>
    <w:rsid w:val="004B110C"/>
    <w:rsid w:val="004B113B"/>
    <w:rsid w:val="004B17A3"/>
    <w:rsid w:val="004B1820"/>
    <w:rsid w:val="004B2DE4"/>
    <w:rsid w:val="004B310D"/>
    <w:rsid w:val="004B4088"/>
    <w:rsid w:val="004B44BD"/>
    <w:rsid w:val="004B473A"/>
    <w:rsid w:val="004B49EF"/>
    <w:rsid w:val="004B5487"/>
    <w:rsid w:val="004B6208"/>
    <w:rsid w:val="004B6624"/>
    <w:rsid w:val="004B6829"/>
    <w:rsid w:val="004B74C9"/>
    <w:rsid w:val="004B7650"/>
    <w:rsid w:val="004C0597"/>
    <w:rsid w:val="004C115D"/>
    <w:rsid w:val="004C1449"/>
    <w:rsid w:val="004C179F"/>
    <w:rsid w:val="004C1EBD"/>
    <w:rsid w:val="004C1FE6"/>
    <w:rsid w:val="004C2AF3"/>
    <w:rsid w:val="004C32A0"/>
    <w:rsid w:val="004C41B8"/>
    <w:rsid w:val="004C4635"/>
    <w:rsid w:val="004C5375"/>
    <w:rsid w:val="004C54DC"/>
    <w:rsid w:val="004C5BB5"/>
    <w:rsid w:val="004C7005"/>
    <w:rsid w:val="004D0249"/>
    <w:rsid w:val="004D0D34"/>
    <w:rsid w:val="004D2220"/>
    <w:rsid w:val="004D2359"/>
    <w:rsid w:val="004D2935"/>
    <w:rsid w:val="004D2A3C"/>
    <w:rsid w:val="004D2B70"/>
    <w:rsid w:val="004D2E6E"/>
    <w:rsid w:val="004D3A9E"/>
    <w:rsid w:val="004D59E2"/>
    <w:rsid w:val="004D5C0F"/>
    <w:rsid w:val="004D6520"/>
    <w:rsid w:val="004D65ED"/>
    <w:rsid w:val="004E0502"/>
    <w:rsid w:val="004E056B"/>
    <w:rsid w:val="004E1978"/>
    <w:rsid w:val="004E1983"/>
    <w:rsid w:val="004E1F79"/>
    <w:rsid w:val="004E22DB"/>
    <w:rsid w:val="004E2760"/>
    <w:rsid w:val="004E27DA"/>
    <w:rsid w:val="004E3578"/>
    <w:rsid w:val="004E3C7E"/>
    <w:rsid w:val="004E40D6"/>
    <w:rsid w:val="004E42AB"/>
    <w:rsid w:val="004E42CF"/>
    <w:rsid w:val="004E4E4A"/>
    <w:rsid w:val="004E4EB4"/>
    <w:rsid w:val="004E51EB"/>
    <w:rsid w:val="004E53BC"/>
    <w:rsid w:val="004E541A"/>
    <w:rsid w:val="004E561A"/>
    <w:rsid w:val="004E5B21"/>
    <w:rsid w:val="004E5D2B"/>
    <w:rsid w:val="004E5E3D"/>
    <w:rsid w:val="004E6C07"/>
    <w:rsid w:val="004E6D3A"/>
    <w:rsid w:val="004E6DEC"/>
    <w:rsid w:val="004E74B0"/>
    <w:rsid w:val="004E752C"/>
    <w:rsid w:val="004E7C09"/>
    <w:rsid w:val="004F1542"/>
    <w:rsid w:val="004F1793"/>
    <w:rsid w:val="004F1B47"/>
    <w:rsid w:val="004F1C82"/>
    <w:rsid w:val="004F2333"/>
    <w:rsid w:val="004F2910"/>
    <w:rsid w:val="004F2959"/>
    <w:rsid w:val="004F2BFD"/>
    <w:rsid w:val="004F2F61"/>
    <w:rsid w:val="004F3057"/>
    <w:rsid w:val="004F3219"/>
    <w:rsid w:val="004F4788"/>
    <w:rsid w:val="004F55B0"/>
    <w:rsid w:val="004F620C"/>
    <w:rsid w:val="004F6393"/>
    <w:rsid w:val="004F6F2A"/>
    <w:rsid w:val="004F6F9E"/>
    <w:rsid w:val="004F7142"/>
    <w:rsid w:val="004F7226"/>
    <w:rsid w:val="004F778F"/>
    <w:rsid w:val="004F7794"/>
    <w:rsid w:val="004F9288"/>
    <w:rsid w:val="00500531"/>
    <w:rsid w:val="00500565"/>
    <w:rsid w:val="005005DB"/>
    <w:rsid w:val="0050072A"/>
    <w:rsid w:val="00500A50"/>
    <w:rsid w:val="00500C3A"/>
    <w:rsid w:val="00500EB6"/>
    <w:rsid w:val="005011CE"/>
    <w:rsid w:val="00501C49"/>
    <w:rsid w:val="00501E3A"/>
    <w:rsid w:val="00502346"/>
    <w:rsid w:val="005038DA"/>
    <w:rsid w:val="00504134"/>
    <w:rsid w:val="00504E81"/>
    <w:rsid w:val="00505513"/>
    <w:rsid w:val="005056C1"/>
    <w:rsid w:val="00505F1D"/>
    <w:rsid w:val="00506ABF"/>
    <w:rsid w:val="00506C92"/>
    <w:rsid w:val="00507A49"/>
    <w:rsid w:val="00507BD4"/>
    <w:rsid w:val="0051007D"/>
    <w:rsid w:val="005105CD"/>
    <w:rsid w:val="00510E6D"/>
    <w:rsid w:val="005118C3"/>
    <w:rsid w:val="00511A1B"/>
    <w:rsid w:val="00511C8B"/>
    <w:rsid w:val="00511D94"/>
    <w:rsid w:val="0051286C"/>
    <w:rsid w:val="005130DB"/>
    <w:rsid w:val="005134B0"/>
    <w:rsid w:val="00513592"/>
    <w:rsid w:val="0051367F"/>
    <w:rsid w:val="0051387E"/>
    <w:rsid w:val="00513A1A"/>
    <w:rsid w:val="00513C2B"/>
    <w:rsid w:val="00513EC4"/>
    <w:rsid w:val="00514343"/>
    <w:rsid w:val="00514819"/>
    <w:rsid w:val="0051519D"/>
    <w:rsid w:val="0051535D"/>
    <w:rsid w:val="005164ED"/>
    <w:rsid w:val="005167BD"/>
    <w:rsid w:val="00516867"/>
    <w:rsid w:val="00516AE9"/>
    <w:rsid w:val="0051720A"/>
    <w:rsid w:val="00517673"/>
    <w:rsid w:val="00520029"/>
    <w:rsid w:val="005203A1"/>
    <w:rsid w:val="005210F2"/>
    <w:rsid w:val="00521EC8"/>
    <w:rsid w:val="00522195"/>
    <w:rsid w:val="005223A5"/>
    <w:rsid w:val="00522B55"/>
    <w:rsid w:val="00523799"/>
    <w:rsid w:val="00524671"/>
    <w:rsid w:val="00524F98"/>
    <w:rsid w:val="00525542"/>
    <w:rsid w:val="00525C55"/>
    <w:rsid w:val="00526A1A"/>
    <w:rsid w:val="00527E4F"/>
    <w:rsid w:val="00530250"/>
    <w:rsid w:val="00530B13"/>
    <w:rsid w:val="00530BEA"/>
    <w:rsid w:val="00530F50"/>
    <w:rsid w:val="00531284"/>
    <w:rsid w:val="0053134C"/>
    <w:rsid w:val="005317AD"/>
    <w:rsid w:val="00531DE2"/>
    <w:rsid w:val="0053243C"/>
    <w:rsid w:val="00532BD3"/>
    <w:rsid w:val="005337CF"/>
    <w:rsid w:val="005338DE"/>
    <w:rsid w:val="00533DA1"/>
    <w:rsid w:val="00533EDA"/>
    <w:rsid w:val="00534364"/>
    <w:rsid w:val="005348AD"/>
    <w:rsid w:val="00535615"/>
    <w:rsid w:val="00535A46"/>
    <w:rsid w:val="005364ED"/>
    <w:rsid w:val="00536703"/>
    <w:rsid w:val="005369A1"/>
    <w:rsid w:val="005369F0"/>
    <w:rsid w:val="00536F2C"/>
    <w:rsid w:val="00536FD1"/>
    <w:rsid w:val="00537214"/>
    <w:rsid w:val="005376CF"/>
    <w:rsid w:val="00540B84"/>
    <w:rsid w:val="00540C46"/>
    <w:rsid w:val="0054233A"/>
    <w:rsid w:val="00542498"/>
    <w:rsid w:val="0054270A"/>
    <w:rsid w:val="00542A65"/>
    <w:rsid w:val="00542BE9"/>
    <w:rsid w:val="00542CCE"/>
    <w:rsid w:val="00542CCF"/>
    <w:rsid w:val="00543053"/>
    <w:rsid w:val="00543749"/>
    <w:rsid w:val="00543BD9"/>
    <w:rsid w:val="00543E89"/>
    <w:rsid w:val="00545A17"/>
    <w:rsid w:val="00545E56"/>
    <w:rsid w:val="00545F39"/>
    <w:rsid w:val="0054605D"/>
    <w:rsid w:val="005465A0"/>
    <w:rsid w:val="00546F16"/>
    <w:rsid w:val="00547A3A"/>
    <w:rsid w:val="00547B81"/>
    <w:rsid w:val="00550301"/>
    <w:rsid w:val="00550396"/>
    <w:rsid w:val="0055054B"/>
    <w:rsid w:val="00550798"/>
    <w:rsid w:val="00550D97"/>
    <w:rsid w:val="00551DBE"/>
    <w:rsid w:val="0055238A"/>
    <w:rsid w:val="0055264A"/>
    <w:rsid w:val="005527D3"/>
    <w:rsid w:val="00552897"/>
    <w:rsid w:val="00552BF7"/>
    <w:rsid w:val="005542DE"/>
    <w:rsid w:val="005547FC"/>
    <w:rsid w:val="00554CD4"/>
    <w:rsid w:val="00554EEA"/>
    <w:rsid w:val="0055517D"/>
    <w:rsid w:val="005555EB"/>
    <w:rsid w:val="00555839"/>
    <w:rsid w:val="0055597B"/>
    <w:rsid w:val="005568B1"/>
    <w:rsid w:val="00556BF0"/>
    <w:rsid w:val="00556EFE"/>
    <w:rsid w:val="005570FC"/>
    <w:rsid w:val="00557826"/>
    <w:rsid w:val="00557FB5"/>
    <w:rsid w:val="0056094D"/>
    <w:rsid w:val="0056118A"/>
    <w:rsid w:val="00561579"/>
    <w:rsid w:val="005617E1"/>
    <w:rsid w:val="005622F9"/>
    <w:rsid w:val="00562403"/>
    <w:rsid w:val="005624EA"/>
    <w:rsid w:val="005625CD"/>
    <w:rsid w:val="005627AB"/>
    <w:rsid w:val="00563B93"/>
    <w:rsid w:val="0056406E"/>
    <w:rsid w:val="00564241"/>
    <w:rsid w:val="005642CE"/>
    <w:rsid w:val="0056478F"/>
    <w:rsid w:val="00565396"/>
    <w:rsid w:val="00565C9E"/>
    <w:rsid w:val="00565FB2"/>
    <w:rsid w:val="005660BD"/>
    <w:rsid w:val="00566198"/>
    <w:rsid w:val="00566E28"/>
    <w:rsid w:val="005672BB"/>
    <w:rsid w:val="0057006E"/>
    <w:rsid w:val="00570620"/>
    <w:rsid w:val="00570A36"/>
    <w:rsid w:val="00570C80"/>
    <w:rsid w:val="00570DEB"/>
    <w:rsid w:val="00570FDC"/>
    <w:rsid w:val="005716DE"/>
    <w:rsid w:val="00571D84"/>
    <w:rsid w:val="00572096"/>
    <w:rsid w:val="005724E7"/>
    <w:rsid w:val="005725FE"/>
    <w:rsid w:val="005727FB"/>
    <w:rsid w:val="0057410C"/>
    <w:rsid w:val="00574C71"/>
    <w:rsid w:val="00574CD6"/>
    <w:rsid w:val="005754EE"/>
    <w:rsid w:val="005760C9"/>
    <w:rsid w:val="00576531"/>
    <w:rsid w:val="005770DF"/>
    <w:rsid w:val="0058011F"/>
    <w:rsid w:val="0058015A"/>
    <w:rsid w:val="00580711"/>
    <w:rsid w:val="005807C9"/>
    <w:rsid w:val="00580F37"/>
    <w:rsid w:val="00581CFD"/>
    <w:rsid w:val="00581DAF"/>
    <w:rsid w:val="00582551"/>
    <w:rsid w:val="0058318B"/>
    <w:rsid w:val="00583883"/>
    <w:rsid w:val="0058457F"/>
    <w:rsid w:val="0058460A"/>
    <w:rsid w:val="005848EC"/>
    <w:rsid w:val="00584E86"/>
    <w:rsid w:val="00585526"/>
    <w:rsid w:val="00585C1C"/>
    <w:rsid w:val="00585E94"/>
    <w:rsid w:val="005865DC"/>
    <w:rsid w:val="0058668A"/>
    <w:rsid w:val="00586A76"/>
    <w:rsid w:val="00586C0E"/>
    <w:rsid w:val="00586F73"/>
    <w:rsid w:val="005870D1"/>
    <w:rsid w:val="00587CC4"/>
    <w:rsid w:val="00590197"/>
    <w:rsid w:val="00590380"/>
    <w:rsid w:val="005903BD"/>
    <w:rsid w:val="00590C0E"/>
    <w:rsid w:val="0059155B"/>
    <w:rsid w:val="005915B2"/>
    <w:rsid w:val="00591858"/>
    <w:rsid w:val="0059247F"/>
    <w:rsid w:val="00592B82"/>
    <w:rsid w:val="00592E39"/>
    <w:rsid w:val="005946B6"/>
    <w:rsid w:val="0059478C"/>
    <w:rsid w:val="00594CC8"/>
    <w:rsid w:val="0059516A"/>
    <w:rsid w:val="00595CA1"/>
    <w:rsid w:val="00596756"/>
    <w:rsid w:val="00596DF6"/>
    <w:rsid w:val="00596E84"/>
    <w:rsid w:val="00597542"/>
    <w:rsid w:val="005977AF"/>
    <w:rsid w:val="00597BC0"/>
    <w:rsid w:val="005A073E"/>
    <w:rsid w:val="005A0B75"/>
    <w:rsid w:val="005A0FC1"/>
    <w:rsid w:val="005A12D1"/>
    <w:rsid w:val="005A279C"/>
    <w:rsid w:val="005A282F"/>
    <w:rsid w:val="005A284E"/>
    <w:rsid w:val="005A3617"/>
    <w:rsid w:val="005A39E0"/>
    <w:rsid w:val="005A3A3C"/>
    <w:rsid w:val="005A3F4A"/>
    <w:rsid w:val="005A3FA4"/>
    <w:rsid w:val="005A430E"/>
    <w:rsid w:val="005A44DE"/>
    <w:rsid w:val="005A5426"/>
    <w:rsid w:val="005A58A7"/>
    <w:rsid w:val="005A5972"/>
    <w:rsid w:val="005A5A72"/>
    <w:rsid w:val="005A6E83"/>
    <w:rsid w:val="005A72D6"/>
    <w:rsid w:val="005A7BF2"/>
    <w:rsid w:val="005A7D4D"/>
    <w:rsid w:val="005A7EB1"/>
    <w:rsid w:val="005B02EC"/>
    <w:rsid w:val="005B0896"/>
    <w:rsid w:val="005B0B33"/>
    <w:rsid w:val="005B13DF"/>
    <w:rsid w:val="005B201A"/>
    <w:rsid w:val="005B2074"/>
    <w:rsid w:val="005B23D3"/>
    <w:rsid w:val="005B2784"/>
    <w:rsid w:val="005B2A2E"/>
    <w:rsid w:val="005B34E3"/>
    <w:rsid w:val="005B36A3"/>
    <w:rsid w:val="005B4575"/>
    <w:rsid w:val="005B4702"/>
    <w:rsid w:val="005B4FAB"/>
    <w:rsid w:val="005B5F2C"/>
    <w:rsid w:val="005B6355"/>
    <w:rsid w:val="005B6A42"/>
    <w:rsid w:val="005B7290"/>
    <w:rsid w:val="005B7911"/>
    <w:rsid w:val="005B7E63"/>
    <w:rsid w:val="005C0429"/>
    <w:rsid w:val="005C055E"/>
    <w:rsid w:val="005C0C2E"/>
    <w:rsid w:val="005C1214"/>
    <w:rsid w:val="005C15AD"/>
    <w:rsid w:val="005C241A"/>
    <w:rsid w:val="005C24F6"/>
    <w:rsid w:val="005C2810"/>
    <w:rsid w:val="005C3114"/>
    <w:rsid w:val="005C3482"/>
    <w:rsid w:val="005C35A8"/>
    <w:rsid w:val="005C38B7"/>
    <w:rsid w:val="005C3D30"/>
    <w:rsid w:val="005C3E1F"/>
    <w:rsid w:val="005C3EEE"/>
    <w:rsid w:val="005C3F10"/>
    <w:rsid w:val="005C48B1"/>
    <w:rsid w:val="005C491E"/>
    <w:rsid w:val="005C49CC"/>
    <w:rsid w:val="005C4BCE"/>
    <w:rsid w:val="005C5CBA"/>
    <w:rsid w:val="005D0533"/>
    <w:rsid w:val="005D07A8"/>
    <w:rsid w:val="005D1225"/>
    <w:rsid w:val="005D1355"/>
    <w:rsid w:val="005D1B94"/>
    <w:rsid w:val="005D1C8D"/>
    <w:rsid w:val="005D1DB0"/>
    <w:rsid w:val="005D1F45"/>
    <w:rsid w:val="005D20B7"/>
    <w:rsid w:val="005D2820"/>
    <w:rsid w:val="005D290A"/>
    <w:rsid w:val="005D370D"/>
    <w:rsid w:val="005D39A4"/>
    <w:rsid w:val="005D3BB4"/>
    <w:rsid w:val="005D4EA9"/>
    <w:rsid w:val="005D50AF"/>
    <w:rsid w:val="005D52B2"/>
    <w:rsid w:val="005D54C3"/>
    <w:rsid w:val="005D5BB5"/>
    <w:rsid w:val="005D6567"/>
    <w:rsid w:val="005D65E4"/>
    <w:rsid w:val="005D6A8A"/>
    <w:rsid w:val="005D70BA"/>
    <w:rsid w:val="005D71A2"/>
    <w:rsid w:val="005D7EA6"/>
    <w:rsid w:val="005E06EC"/>
    <w:rsid w:val="005E12F3"/>
    <w:rsid w:val="005E17DD"/>
    <w:rsid w:val="005E1889"/>
    <w:rsid w:val="005E1B1E"/>
    <w:rsid w:val="005E2419"/>
    <w:rsid w:val="005E247A"/>
    <w:rsid w:val="005E302B"/>
    <w:rsid w:val="005E45AD"/>
    <w:rsid w:val="005E4A85"/>
    <w:rsid w:val="005E5706"/>
    <w:rsid w:val="005E5A97"/>
    <w:rsid w:val="005E6481"/>
    <w:rsid w:val="005E6746"/>
    <w:rsid w:val="005E6D20"/>
    <w:rsid w:val="005E7295"/>
    <w:rsid w:val="005E7EB2"/>
    <w:rsid w:val="005F030B"/>
    <w:rsid w:val="005F03E5"/>
    <w:rsid w:val="005F04DB"/>
    <w:rsid w:val="005F0BD7"/>
    <w:rsid w:val="005F0F2B"/>
    <w:rsid w:val="005F0FAB"/>
    <w:rsid w:val="005F1220"/>
    <w:rsid w:val="005F13C4"/>
    <w:rsid w:val="005F14B7"/>
    <w:rsid w:val="005F1DDF"/>
    <w:rsid w:val="005F1FE7"/>
    <w:rsid w:val="005F2303"/>
    <w:rsid w:val="005F24A9"/>
    <w:rsid w:val="005F25FF"/>
    <w:rsid w:val="005F260E"/>
    <w:rsid w:val="005F3313"/>
    <w:rsid w:val="005F4646"/>
    <w:rsid w:val="005F48B6"/>
    <w:rsid w:val="005F49BB"/>
    <w:rsid w:val="005F4D92"/>
    <w:rsid w:val="005F5DCC"/>
    <w:rsid w:val="005F62C4"/>
    <w:rsid w:val="005F64FC"/>
    <w:rsid w:val="005F768C"/>
    <w:rsid w:val="005F7866"/>
    <w:rsid w:val="006005DF"/>
    <w:rsid w:val="00600670"/>
    <w:rsid w:val="00601F06"/>
    <w:rsid w:val="00602A66"/>
    <w:rsid w:val="00602F3B"/>
    <w:rsid w:val="00603080"/>
    <w:rsid w:val="006030BE"/>
    <w:rsid w:val="00603446"/>
    <w:rsid w:val="00603CA3"/>
    <w:rsid w:val="00603E6A"/>
    <w:rsid w:val="00604724"/>
    <w:rsid w:val="00604760"/>
    <w:rsid w:val="00604A95"/>
    <w:rsid w:val="006054A2"/>
    <w:rsid w:val="006056A1"/>
    <w:rsid w:val="0060639B"/>
    <w:rsid w:val="0060644B"/>
    <w:rsid w:val="0060664B"/>
    <w:rsid w:val="00606995"/>
    <w:rsid w:val="00606B0B"/>
    <w:rsid w:val="00610D85"/>
    <w:rsid w:val="00610E6D"/>
    <w:rsid w:val="00611656"/>
    <w:rsid w:val="00612D93"/>
    <w:rsid w:val="00612DEE"/>
    <w:rsid w:val="00613059"/>
    <w:rsid w:val="00613B6D"/>
    <w:rsid w:val="00613D38"/>
    <w:rsid w:val="00613DCC"/>
    <w:rsid w:val="006147E5"/>
    <w:rsid w:val="00614B6E"/>
    <w:rsid w:val="00615374"/>
    <w:rsid w:val="00615375"/>
    <w:rsid w:val="006159B3"/>
    <w:rsid w:val="0061604E"/>
    <w:rsid w:val="00616586"/>
    <w:rsid w:val="006169FF"/>
    <w:rsid w:val="00616DB5"/>
    <w:rsid w:val="0061712D"/>
    <w:rsid w:val="00617AF1"/>
    <w:rsid w:val="00617DBF"/>
    <w:rsid w:val="00620282"/>
    <w:rsid w:val="00620F80"/>
    <w:rsid w:val="006216A5"/>
    <w:rsid w:val="00621934"/>
    <w:rsid w:val="00621C21"/>
    <w:rsid w:val="00622EF5"/>
    <w:rsid w:val="00622F71"/>
    <w:rsid w:val="0062392E"/>
    <w:rsid w:val="00623FB4"/>
    <w:rsid w:val="006242E8"/>
    <w:rsid w:val="006251F8"/>
    <w:rsid w:val="0062560F"/>
    <w:rsid w:val="00625759"/>
    <w:rsid w:val="0062630C"/>
    <w:rsid w:val="006266CE"/>
    <w:rsid w:val="00626CEB"/>
    <w:rsid w:val="00626DBA"/>
    <w:rsid w:val="006270A0"/>
    <w:rsid w:val="0062740F"/>
    <w:rsid w:val="00627BFC"/>
    <w:rsid w:val="00627F9F"/>
    <w:rsid w:val="006300E6"/>
    <w:rsid w:val="006302E1"/>
    <w:rsid w:val="00630650"/>
    <w:rsid w:val="0063110C"/>
    <w:rsid w:val="00631126"/>
    <w:rsid w:val="0063203B"/>
    <w:rsid w:val="00632330"/>
    <w:rsid w:val="00632DB3"/>
    <w:rsid w:val="00633154"/>
    <w:rsid w:val="00633C0C"/>
    <w:rsid w:val="00634009"/>
    <w:rsid w:val="006348B5"/>
    <w:rsid w:val="006348BE"/>
    <w:rsid w:val="00634C13"/>
    <w:rsid w:val="006353FE"/>
    <w:rsid w:val="00635452"/>
    <w:rsid w:val="006354DA"/>
    <w:rsid w:val="00635F34"/>
    <w:rsid w:val="00636E1D"/>
    <w:rsid w:val="00637071"/>
    <w:rsid w:val="00637841"/>
    <w:rsid w:val="00637CBB"/>
    <w:rsid w:val="006400D2"/>
    <w:rsid w:val="00640763"/>
    <w:rsid w:val="00641085"/>
    <w:rsid w:val="00641C26"/>
    <w:rsid w:val="00641F19"/>
    <w:rsid w:val="0064200D"/>
    <w:rsid w:val="00642167"/>
    <w:rsid w:val="00642243"/>
    <w:rsid w:val="00642506"/>
    <w:rsid w:val="00642EAA"/>
    <w:rsid w:val="00643744"/>
    <w:rsid w:val="00643CD5"/>
    <w:rsid w:val="00643FDE"/>
    <w:rsid w:val="006446D2"/>
    <w:rsid w:val="006448F4"/>
    <w:rsid w:val="00644DE9"/>
    <w:rsid w:val="006452BE"/>
    <w:rsid w:val="00645518"/>
    <w:rsid w:val="006456C8"/>
    <w:rsid w:val="006457E7"/>
    <w:rsid w:val="006468A2"/>
    <w:rsid w:val="00646CF1"/>
    <w:rsid w:val="00646EC5"/>
    <w:rsid w:val="006502BF"/>
    <w:rsid w:val="00650411"/>
    <w:rsid w:val="006504DF"/>
    <w:rsid w:val="0065057E"/>
    <w:rsid w:val="0065142A"/>
    <w:rsid w:val="0065177A"/>
    <w:rsid w:val="00651827"/>
    <w:rsid w:val="00651B3F"/>
    <w:rsid w:val="00651BA9"/>
    <w:rsid w:val="00652523"/>
    <w:rsid w:val="0065252D"/>
    <w:rsid w:val="006527A6"/>
    <w:rsid w:val="00652828"/>
    <w:rsid w:val="006528E2"/>
    <w:rsid w:val="00652A9E"/>
    <w:rsid w:val="00652F2C"/>
    <w:rsid w:val="0065381C"/>
    <w:rsid w:val="00653BBF"/>
    <w:rsid w:val="0065420C"/>
    <w:rsid w:val="00654217"/>
    <w:rsid w:val="006544BE"/>
    <w:rsid w:val="00654B92"/>
    <w:rsid w:val="00654D49"/>
    <w:rsid w:val="00654F13"/>
    <w:rsid w:val="00654F15"/>
    <w:rsid w:val="006550A7"/>
    <w:rsid w:val="006555C6"/>
    <w:rsid w:val="006557E6"/>
    <w:rsid w:val="006557F5"/>
    <w:rsid w:val="00655C7F"/>
    <w:rsid w:val="00655FD3"/>
    <w:rsid w:val="00656633"/>
    <w:rsid w:val="0065676F"/>
    <w:rsid w:val="006572BE"/>
    <w:rsid w:val="00657959"/>
    <w:rsid w:val="006601B0"/>
    <w:rsid w:val="00660A4A"/>
    <w:rsid w:val="00660F08"/>
    <w:rsid w:val="00661038"/>
    <w:rsid w:val="006612CA"/>
    <w:rsid w:val="0066160E"/>
    <w:rsid w:val="00661A7C"/>
    <w:rsid w:val="006620CA"/>
    <w:rsid w:val="00662187"/>
    <w:rsid w:val="0066239D"/>
    <w:rsid w:val="006623F8"/>
    <w:rsid w:val="006625AF"/>
    <w:rsid w:val="0066291A"/>
    <w:rsid w:val="00662C33"/>
    <w:rsid w:val="006639AD"/>
    <w:rsid w:val="00663E63"/>
    <w:rsid w:val="006645B3"/>
    <w:rsid w:val="0066468D"/>
    <w:rsid w:val="00664D4C"/>
    <w:rsid w:val="00666566"/>
    <w:rsid w:val="006665DD"/>
    <w:rsid w:val="006666B6"/>
    <w:rsid w:val="00666743"/>
    <w:rsid w:val="006668E9"/>
    <w:rsid w:val="00667041"/>
    <w:rsid w:val="006670F2"/>
    <w:rsid w:val="0066710F"/>
    <w:rsid w:val="0066740D"/>
    <w:rsid w:val="0066790A"/>
    <w:rsid w:val="00667E25"/>
    <w:rsid w:val="00670F43"/>
    <w:rsid w:val="00671563"/>
    <w:rsid w:val="0067193E"/>
    <w:rsid w:val="00671BAC"/>
    <w:rsid w:val="00671C83"/>
    <w:rsid w:val="006724CC"/>
    <w:rsid w:val="006726C1"/>
    <w:rsid w:val="00672946"/>
    <w:rsid w:val="00672EDA"/>
    <w:rsid w:val="00673545"/>
    <w:rsid w:val="006736F2"/>
    <w:rsid w:val="00673C6B"/>
    <w:rsid w:val="00673DB5"/>
    <w:rsid w:val="00673FDF"/>
    <w:rsid w:val="006748D5"/>
    <w:rsid w:val="006753FF"/>
    <w:rsid w:val="00675703"/>
    <w:rsid w:val="0067571B"/>
    <w:rsid w:val="006759DD"/>
    <w:rsid w:val="00677355"/>
    <w:rsid w:val="006777B1"/>
    <w:rsid w:val="006806CE"/>
    <w:rsid w:val="00680A94"/>
    <w:rsid w:val="00680DF3"/>
    <w:rsid w:val="00680E92"/>
    <w:rsid w:val="0068108D"/>
    <w:rsid w:val="006812BD"/>
    <w:rsid w:val="006815CE"/>
    <w:rsid w:val="006816C4"/>
    <w:rsid w:val="00681CA3"/>
    <w:rsid w:val="006829B2"/>
    <w:rsid w:val="00682FB9"/>
    <w:rsid w:val="00683960"/>
    <w:rsid w:val="00683C86"/>
    <w:rsid w:val="00684B73"/>
    <w:rsid w:val="00684D6A"/>
    <w:rsid w:val="0068559A"/>
    <w:rsid w:val="006855DE"/>
    <w:rsid w:val="00685AC7"/>
    <w:rsid w:val="00685FCA"/>
    <w:rsid w:val="00686260"/>
    <w:rsid w:val="00686816"/>
    <w:rsid w:val="006868B7"/>
    <w:rsid w:val="00686C70"/>
    <w:rsid w:val="00686E52"/>
    <w:rsid w:val="00687411"/>
    <w:rsid w:val="00687727"/>
    <w:rsid w:val="00687D51"/>
    <w:rsid w:val="006909BA"/>
    <w:rsid w:val="00690C4C"/>
    <w:rsid w:val="00690D38"/>
    <w:rsid w:val="00690EA6"/>
    <w:rsid w:val="006914ED"/>
    <w:rsid w:val="006915FC"/>
    <w:rsid w:val="006918BB"/>
    <w:rsid w:val="00691B29"/>
    <w:rsid w:val="00691D96"/>
    <w:rsid w:val="00692253"/>
    <w:rsid w:val="00692B5F"/>
    <w:rsid w:val="00693CB0"/>
    <w:rsid w:val="00693EB4"/>
    <w:rsid w:val="0069431C"/>
    <w:rsid w:val="0069469F"/>
    <w:rsid w:val="00694CAA"/>
    <w:rsid w:val="00694E89"/>
    <w:rsid w:val="00694F7B"/>
    <w:rsid w:val="00695C4A"/>
    <w:rsid w:val="00696B64"/>
    <w:rsid w:val="00696DF5"/>
    <w:rsid w:val="00696DF9"/>
    <w:rsid w:val="006976A3"/>
    <w:rsid w:val="00697817"/>
    <w:rsid w:val="00697830"/>
    <w:rsid w:val="00697DC0"/>
    <w:rsid w:val="006A03F8"/>
    <w:rsid w:val="006A0472"/>
    <w:rsid w:val="006A074C"/>
    <w:rsid w:val="006A0BA7"/>
    <w:rsid w:val="006A0EEA"/>
    <w:rsid w:val="006A2179"/>
    <w:rsid w:val="006A2CC0"/>
    <w:rsid w:val="006A2E63"/>
    <w:rsid w:val="006A316F"/>
    <w:rsid w:val="006A397B"/>
    <w:rsid w:val="006A498B"/>
    <w:rsid w:val="006A51C7"/>
    <w:rsid w:val="006A52AD"/>
    <w:rsid w:val="006A5F30"/>
    <w:rsid w:val="006A6D57"/>
    <w:rsid w:val="006A727D"/>
    <w:rsid w:val="006A7366"/>
    <w:rsid w:val="006A7F7C"/>
    <w:rsid w:val="006B0077"/>
    <w:rsid w:val="006B0613"/>
    <w:rsid w:val="006B0736"/>
    <w:rsid w:val="006B0966"/>
    <w:rsid w:val="006B0A3A"/>
    <w:rsid w:val="006B0DA8"/>
    <w:rsid w:val="006B1253"/>
    <w:rsid w:val="006B14A3"/>
    <w:rsid w:val="006B15C5"/>
    <w:rsid w:val="006B17EE"/>
    <w:rsid w:val="006B197D"/>
    <w:rsid w:val="006B1AB5"/>
    <w:rsid w:val="006B1F71"/>
    <w:rsid w:val="006B20D5"/>
    <w:rsid w:val="006B2259"/>
    <w:rsid w:val="006B2573"/>
    <w:rsid w:val="006B2793"/>
    <w:rsid w:val="006B2C86"/>
    <w:rsid w:val="006B2E72"/>
    <w:rsid w:val="006B3A45"/>
    <w:rsid w:val="006B3AA7"/>
    <w:rsid w:val="006B3BAE"/>
    <w:rsid w:val="006B3C5C"/>
    <w:rsid w:val="006B4840"/>
    <w:rsid w:val="006B4C5F"/>
    <w:rsid w:val="006B4F1D"/>
    <w:rsid w:val="006B54C5"/>
    <w:rsid w:val="006B56FB"/>
    <w:rsid w:val="006B5981"/>
    <w:rsid w:val="006B5B17"/>
    <w:rsid w:val="006B5D89"/>
    <w:rsid w:val="006B6041"/>
    <w:rsid w:val="006B6072"/>
    <w:rsid w:val="006B6499"/>
    <w:rsid w:val="006B665F"/>
    <w:rsid w:val="006B66AB"/>
    <w:rsid w:val="006B68E1"/>
    <w:rsid w:val="006B701B"/>
    <w:rsid w:val="006B741C"/>
    <w:rsid w:val="006B7535"/>
    <w:rsid w:val="006C0559"/>
    <w:rsid w:val="006C0873"/>
    <w:rsid w:val="006C0B7B"/>
    <w:rsid w:val="006C0E29"/>
    <w:rsid w:val="006C238D"/>
    <w:rsid w:val="006C3092"/>
    <w:rsid w:val="006C3539"/>
    <w:rsid w:val="006C3710"/>
    <w:rsid w:val="006C4F74"/>
    <w:rsid w:val="006C55CE"/>
    <w:rsid w:val="006C6207"/>
    <w:rsid w:val="006C6FF6"/>
    <w:rsid w:val="006C71FA"/>
    <w:rsid w:val="006C765E"/>
    <w:rsid w:val="006C7D73"/>
    <w:rsid w:val="006C7F7B"/>
    <w:rsid w:val="006D0836"/>
    <w:rsid w:val="006D118C"/>
    <w:rsid w:val="006D143E"/>
    <w:rsid w:val="006D14C2"/>
    <w:rsid w:val="006D18A3"/>
    <w:rsid w:val="006D2640"/>
    <w:rsid w:val="006D26A9"/>
    <w:rsid w:val="006D2C90"/>
    <w:rsid w:val="006D3AAC"/>
    <w:rsid w:val="006D48CA"/>
    <w:rsid w:val="006D4EC7"/>
    <w:rsid w:val="006D4F7A"/>
    <w:rsid w:val="006D6352"/>
    <w:rsid w:val="006D637F"/>
    <w:rsid w:val="006D63E9"/>
    <w:rsid w:val="006D653B"/>
    <w:rsid w:val="006D679D"/>
    <w:rsid w:val="006D6809"/>
    <w:rsid w:val="006D6F4B"/>
    <w:rsid w:val="006D6F87"/>
    <w:rsid w:val="006D7621"/>
    <w:rsid w:val="006D7933"/>
    <w:rsid w:val="006D7C57"/>
    <w:rsid w:val="006E050E"/>
    <w:rsid w:val="006E0567"/>
    <w:rsid w:val="006E165F"/>
    <w:rsid w:val="006E1AAE"/>
    <w:rsid w:val="006E1E41"/>
    <w:rsid w:val="006E1F4F"/>
    <w:rsid w:val="006E2529"/>
    <w:rsid w:val="006E2603"/>
    <w:rsid w:val="006E2929"/>
    <w:rsid w:val="006E298E"/>
    <w:rsid w:val="006E2AAC"/>
    <w:rsid w:val="006E3506"/>
    <w:rsid w:val="006E4183"/>
    <w:rsid w:val="006E424B"/>
    <w:rsid w:val="006E4579"/>
    <w:rsid w:val="006E4A6E"/>
    <w:rsid w:val="006E514A"/>
    <w:rsid w:val="006E5257"/>
    <w:rsid w:val="006E56A0"/>
    <w:rsid w:val="006F089A"/>
    <w:rsid w:val="006F152E"/>
    <w:rsid w:val="006F22BF"/>
    <w:rsid w:val="006F2763"/>
    <w:rsid w:val="006F2AC0"/>
    <w:rsid w:val="006F2D05"/>
    <w:rsid w:val="006F33C1"/>
    <w:rsid w:val="006F3C22"/>
    <w:rsid w:val="006F418C"/>
    <w:rsid w:val="006F42B0"/>
    <w:rsid w:val="006F4414"/>
    <w:rsid w:val="006F5756"/>
    <w:rsid w:val="006F5E95"/>
    <w:rsid w:val="006F6458"/>
    <w:rsid w:val="006F65DC"/>
    <w:rsid w:val="007000A4"/>
    <w:rsid w:val="00700796"/>
    <w:rsid w:val="00700DBF"/>
    <w:rsid w:val="0070121E"/>
    <w:rsid w:val="00701292"/>
    <w:rsid w:val="0070198C"/>
    <w:rsid w:val="007030D6"/>
    <w:rsid w:val="00704162"/>
    <w:rsid w:val="007043A1"/>
    <w:rsid w:val="00704CD7"/>
    <w:rsid w:val="00705187"/>
    <w:rsid w:val="007053CF"/>
    <w:rsid w:val="00706526"/>
    <w:rsid w:val="00706618"/>
    <w:rsid w:val="00706701"/>
    <w:rsid w:val="00706A31"/>
    <w:rsid w:val="00706C9F"/>
    <w:rsid w:val="007071D2"/>
    <w:rsid w:val="00707509"/>
    <w:rsid w:val="0070757C"/>
    <w:rsid w:val="0070795B"/>
    <w:rsid w:val="007101F7"/>
    <w:rsid w:val="00710661"/>
    <w:rsid w:val="00711E86"/>
    <w:rsid w:val="0071208A"/>
    <w:rsid w:val="00712475"/>
    <w:rsid w:val="00712DE3"/>
    <w:rsid w:val="0071388B"/>
    <w:rsid w:val="00714817"/>
    <w:rsid w:val="00714E8F"/>
    <w:rsid w:val="007155E5"/>
    <w:rsid w:val="00715A84"/>
    <w:rsid w:val="007161E7"/>
    <w:rsid w:val="007165F7"/>
    <w:rsid w:val="00716F8A"/>
    <w:rsid w:val="00717108"/>
    <w:rsid w:val="00717294"/>
    <w:rsid w:val="007209DF"/>
    <w:rsid w:val="0072113C"/>
    <w:rsid w:val="0072185F"/>
    <w:rsid w:val="00722401"/>
    <w:rsid w:val="00722788"/>
    <w:rsid w:val="00722FD3"/>
    <w:rsid w:val="00724316"/>
    <w:rsid w:val="007255C7"/>
    <w:rsid w:val="00725861"/>
    <w:rsid w:val="007258F4"/>
    <w:rsid w:val="00725C57"/>
    <w:rsid w:val="00726F81"/>
    <w:rsid w:val="0072734F"/>
    <w:rsid w:val="00727496"/>
    <w:rsid w:val="00727809"/>
    <w:rsid w:val="00727B18"/>
    <w:rsid w:val="0073015C"/>
    <w:rsid w:val="00730185"/>
    <w:rsid w:val="00730332"/>
    <w:rsid w:val="0073060D"/>
    <w:rsid w:val="00732272"/>
    <w:rsid w:val="00732643"/>
    <w:rsid w:val="0073283B"/>
    <w:rsid w:val="00735261"/>
    <w:rsid w:val="00735B37"/>
    <w:rsid w:val="00735E37"/>
    <w:rsid w:val="00736807"/>
    <w:rsid w:val="00736F9C"/>
    <w:rsid w:val="00737A63"/>
    <w:rsid w:val="007409D9"/>
    <w:rsid w:val="007413D0"/>
    <w:rsid w:val="0074140A"/>
    <w:rsid w:val="007415A8"/>
    <w:rsid w:val="00741F05"/>
    <w:rsid w:val="00742467"/>
    <w:rsid w:val="007424A2"/>
    <w:rsid w:val="007424F5"/>
    <w:rsid w:val="0074294B"/>
    <w:rsid w:val="007429DD"/>
    <w:rsid w:val="00742FE3"/>
    <w:rsid w:val="0074327A"/>
    <w:rsid w:val="007434E8"/>
    <w:rsid w:val="00743865"/>
    <w:rsid w:val="00744017"/>
    <w:rsid w:val="0074402B"/>
    <w:rsid w:val="007444C9"/>
    <w:rsid w:val="00744BB5"/>
    <w:rsid w:val="007458EE"/>
    <w:rsid w:val="00745BF8"/>
    <w:rsid w:val="007460E7"/>
    <w:rsid w:val="007465CE"/>
    <w:rsid w:val="00746F58"/>
    <w:rsid w:val="00747072"/>
    <w:rsid w:val="007504F2"/>
    <w:rsid w:val="00751E2F"/>
    <w:rsid w:val="00752A04"/>
    <w:rsid w:val="0075384A"/>
    <w:rsid w:val="00753A48"/>
    <w:rsid w:val="00753B93"/>
    <w:rsid w:val="00753C7C"/>
    <w:rsid w:val="00753DC9"/>
    <w:rsid w:val="00754642"/>
    <w:rsid w:val="00755668"/>
    <w:rsid w:val="00755762"/>
    <w:rsid w:val="007557FA"/>
    <w:rsid w:val="00755BAD"/>
    <w:rsid w:val="00755F26"/>
    <w:rsid w:val="0075655F"/>
    <w:rsid w:val="00756A85"/>
    <w:rsid w:val="00756AEE"/>
    <w:rsid w:val="00756E7F"/>
    <w:rsid w:val="00757383"/>
    <w:rsid w:val="007579FD"/>
    <w:rsid w:val="00757E10"/>
    <w:rsid w:val="00760431"/>
    <w:rsid w:val="0076054C"/>
    <w:rsid w:val="00760AD2"/>
    <w:rsid w:val="00760D80"/>
    <w:rsid w:val="00761198"/>
    <w:rsid w:val="007616C3"/>
    <w:rsid w:val="00761BBD"/>
    <w:rsid w:val="00761F99"/>
    <w:rsid w:val="00762054"/>
    <w:rsid w:val="00762724"/>
    <w:rsid w:val="00762D77"/>
    <w:rsid w:val="00762E76"/>
    <w:rsid w:val="00762EEA"/>
    <w:rsid w:val="0076314A"/>
    <w:rsid w:val="007634CC"/>
    <w:rsid w:val="00763BB4"/>
    <w:rsid w:val="00764111"/>
    <w:rsid w:val="007641A2"/>
    <w:rsid w:val="007643C7"/>
    <w:rsid w:val="00764831"/>
    <w:rsid w:val="00764AAC"/>
    <w:rsid w:val="00765245"/>
    <w:rsid w:val="007652D3"/>
    <w:rsid w:val="007654DE"/>
    <w:rsid w:val="00765A16"/>
    <w:rsid w:val="007669F6"/>
    <w:rsid w:val="00766A79"/>
    <w:rsid w:val="00766BC2"/>
    <w:rsid w:val="00766E55"/>
    <w:rsid w:val="007710C3"/>
    <w:rsid w:val="0077152D"/>
    <w:rsid w:val="00771A12"/>
    <w:rsid w:val="00771D6C"/>
    <w:rsid w:val="0077212A"/>
    <w:rsid w:val="0077271B"/>
    <w:rsid w:val="00773C05"/>
    <w:rsid w:val="00773DC4"/>
    <w:rsid w:val="0077410C"/>
    <w:rsid w:val="00774566"/>
    <w:rsid w:val="00774B52"/>
    <w:rsid w:val="00774CCE"/>
    <w:rsid w:val="00775040"/>
    <w:rsid w:val="007751DE"/>
    <w:rsid w:val="00775F3A"/>
    <w:rsid w:val="00776545"/>
    <w:rsid w:val="00776725"/>
    <w:rsid w:val="00776AB1"/>
    <w:rsid w:val="00776DBB"/>
    <w:rsid w:val="00776F50"/>
    <w:rsid w:val="007777A6"/>
    <w:rsid w:val="00780107"/>
    <w:rsid w:val="0078073A"/>
    <w:rsid w:val="0078096B"/>
    <w:rsid w:val="00780998"/>
    <w:rsid w:val="00781273"/>
    <w:rsid w:val="0078139D"/>
    <w:rsid w:val="00781DEE"/>
    <w:rsid w:val="0078229B"/>
    <w:rsid w:val="00782607"/>
    <w:rsid w:val="00782B15"/>
    <w:rsid w:val="00782D5A"/>
    <w:rsid w:val="00783346"/>
    <w:rsid w:val="0078390D"/>
    <w:rsid w:val="00783E9C"/>
    <w:rsid w:val="00783EDC"/>
    <w:rsid w:val="007840E9"/>
    <w:rsid w:val="007851E2"/>
    <w:rsid w:val="0078535D"/>
    <w:rsid w:val="0078582C"/>
    <w:rsid w:val="00785B3E"/>
    <w:rsid w:val="00785FC6"/>
    <w:rsid w:val="00786054"/>
    <w:rsid w:val="00786D8E"/>
    <w:rsid w:val="00786F4A"/>
    <w:rsid w:val="00786F6B"/>
    <w:rsid w:val="00787691"/>
    <w:rsid w:val="00790BC1"/>
    <w:rsid w:val="00791319"/>
    <w:rsid w:val="00791653"/>
    <w:rsid w:val="00791A12"/>
    <w:rsid w:val="00791B21"/>
    <w:rsid w:val="00791EBC"/>
    <w:rsid w:val="00792B9A"/>
    <w:rsid w:val="00792E3C"/>
    <w:rsid w:val="0079344B"/>
    <w:rsid w:val="007937BD"/>
    <w:rsid w:val="00793DCF"/>
    <w:rsid w:val="0079417D"/>
    <w:rsid w:val="00794E9B"/>
    <w:rsid w:val="0079507D"/>
    <w:rsid w:val="0079578A"/>
    <w:rsid w:val="00795BD0"/>
    <w:rsid w:val="00796465"/>
    <w:rsid w:val="00796D6A"/>
    <w:rsid w:val="00796DB7"/>
    <w:rsid w:val="00796EC8"/>
    <w:rsid w:val="0079713A"/>
    <w:rsid w:val="007977FF"/>
    <w:rsid w:val="00797EDA"/>
    <w:rsid w:val="007A0168"/>
    <w:rsid w:val="007A07C5"/>
    <w:rsid w:val="007A1B44"/>
    <w:rsid w:val="007A1BD3"/>
    <w:rsid w:val="007A1FD3"/>
    <w:rsid w:val="007A2339"/>
    <w:rsid w:val="007A2D7C"/>
    <w:rsid w:val="007A2E60"/>
    <w:rsid w:val="007A30CB"/>
    <w:rsid w:val="007A3255"/>
    <w:rsid w:val="007A39D1"/>
    <w:rsid w:val="007A3A6A"/>
    <w:rsid w:val="007A43EC"/>
    <w:rsid w:val="007A460F"/>
    <w:rsid w:val="007A5175"/>
    <w:rsid w:val="007A5525"/>
    <w:rsid w:val="007A5992"/>
    <w:rsid w:val="007A5B3B"/>
    <w:rsid w:val="007A668C"/>
    <w:rsid w:val="007A72D5"/>
    <w:rsid w:val="007A761F"/>
    <w:rsid w:val="007A7A27"/>
    <w:rsid w:val="007A7BAF"/>
    <w:rsid w:val="007A7F39"/>
    <w:rsid w:val="007A7FBD"/>
    <w:rsid w:val="007B036B"/>
    <w:rsid w:val="007B068E"/>
    <w:rsid w:val="007B06A0"/>
    <w:rsid w:val="007B0A74"/>
    <w:rsid w:val="007B0B57"/>
    <w:rsid w:val="007B0D14"/>
    <w:rsid w:val="007B19B3"/>
    <w:rsid w:val="007B26DD"/>
    <w:rsid w:val="007B2C37"/>
    <w:rsid w:val="007B3230"/>
    <w:rsid w:val="007B48F0"/>
    <w:rsid w:val="007B4912"/>
    <w:rsid w:val="007B4C9B"/>
    <w:rsid w:val="007B5067"/>
    <w:rsid w:val="007B5B18"/>
    <w:rsid w:val="007B6159"/>
    <w:rsid w:val="007B626B"/>
    <w:rsid w:val="007B7C07"/>
    <w:rsid w:val="007C03DA"/>
    <w:rsid w:val="007C0653"/>
    <w:rsid w:val="007C08C6"/>
    <w:rsid w:val="007C187C"/>
    <w:rsid w:val="007C1B1A"/>
    <w:rsid w:val="007C1DD2"/>
    <w:rsid w:val="007C1DDD"/>
    <w:rsid w:val="007C2A48"/>
    <w:rsid w:val="007C3722"/>
    <w:rsid w:val="007C3876"/>
    <w:rsid w:val="007C404B"/>
    <w:rsid w:val="007C40DC"/>
    <w:rsid w:val="007C4AE5"/>
    <w:rsid w:val="007C4AF2"/>
    <w:rsid w:val="007C502A"/>
    <w:rsid w:val="007C51AD"/>
    <w:rsid w:val="007C5794"/>
    <w:rsid w:val="007C5B2E"/>
    <w:rsid w:val="007C5EFA"/>
    <w:rsid w:val="007C6411"/>
    <w:rsid w:val="007C6728"/>
    <w:rsid w:val="007C68D4"/>
    <w:rsid w:val="007C7282"/>
    <w:rsid w:val="007C7462"/>
    <w:rsid w:val="007C792B"/>
    <w:rsid w:val="007C7AE9"/>
    <w:rsid w:val="007C7E06"/>
    <w:rsid w:val="007D03AB"/>
    <w:rsid w:val="007D03D5"/>
    <w:rsid w:val="007D0F37"/>
    <w:rsid w:val="007D131B"/>
    <w:rsid w:val="007D1443"/>
    <w:rsid w:val="007D1A34"/>
    <w:rsid w:val="007D1C71"/>
    <w:rsid w:val="007D1D26"/>
    <w:rsid w:val="007D24DE"/>
    <w:rsid w:val="007D351D"/>
    <w:rsid w:val="007D586E"/>
    <w:rsid w:val="007D6A71"/>
    <w:rsid w:val="007D6A73"/>
    <w:rsid w:val="007D6CEC"/>
    <w:rsid w:val="007D70C9"/>
    <w:rsid w:val="007D74D3"/>
    <w:rsid w:val="007E0072"/>
    <w:rsid w:val="007E0250"/>
    <w:rsid w:val="007E0372"/>
    <w:rsid w:val="007E03CC"/>
    <w:rsid w:val="007E0797"/>
    <w:rsid w:val="007E0B07"/>
    <w:rsid w:val="007E0E10"/>
    <w:rsid w:val="007E1D27"/>
    <w:rsid w:val="007E1EFB"/>
    <w:rsid w:val="007E218D"/>
    <w:rsid w:val="007E2317"/>
    <w:rsid w:val="007E36A8"/>
    <w:rsid w:val="007E36E7"/>
    <w:rsid w:val="007E36F3"/>
    <w:rsid w:val="007E3D1A"/>
    <w:rsid w:val="007E3D5E"/>
    <w:rsid w:val="007E3EC0"/>
    <w:rsid w:val="007E3FC8"/>
    <w:rsid w:val="007E5D31"/>
    <w:rsid w:val="007E5FBE"/>
    <w:rsid w:val="007E644E"/>
    <w:rsid w:val="007E6586"/>
    <w:rsid w:val="007E6B18"/>
    <w:rsid w:val="007E7161"/>
    <w:rsid w:val="007E7669"/>
    <w:rsid w:val="007F0278"/>
    <w:rsid w:val="007F0FFE"/>
    <w:rsid w:val="007F1440"/>
    <w:rsid w:val="007F15DA"/>
    <w:rsid w:val="007F1657"/>
    <w:rsid w:val="007F1B90"/>
    <w:rsid w:val="007F1DD9"/>
    <w:rsid w:val="007F1E1D"/>
    <w:rsid w:val="007F23EE"/>
    <w:rsid w:val="007F23F8"/>
    <w:rsid w:val="007F2587"/>
    <w:rsid w:val="007F2EC3"/>
    <w:rsid w:val="007F35A7"/>
    <w:rsid w:val="007F414C"/>
    <w:rsid w:val="007F4BCB"/>
    <w:rsid w:val="007F4F1B"/>
    <w:rsid w:val="007F566C"/>
    <w:rsid w:val="007F5CE9"/>
    <w:rsid w:val="007F5FCA"/>
    <w:rsid w:val="007F61FB"/>
    <w:rsid w:val="007F68C8"/>
    <w:rsid w:val="007F71C8"/>
    <w:rsid w:val="007F722C"/>
    <w:rsid w:val="007F764F"/>
    <w:rsid w:val="007F7C4D"/>
    <w:rsid w:val="008003FC"/>
    <w:rsid w:val="00800B3B"/>
    <w:rsid w:val="00800C93"/>
    <w:rsid w:val="00800E2B"/>
    <w:rsid w:val="00801121"/>
    <w:rsid w:val="00801176"/>
    <w:rsid w:val="0080120C"/>
    <w:rsid w:val="008016F4"/>
    <w:rsid w:val="00801B45"/>
    <w:rsid w:val="00801C6A"/>
    <w:rsid w:val="00801E5B"/>
    <w:rsid w:val="00802074"/>
    <w:rsid w:val="0080277C"/>
    <w:rsid w:val="008027E7"/>
    <w:rsid w:val="0080322D"/>
    <w:rsid w:val="008036BC"/>
    <w:rsid w:val="008041CB"/>
    <w:rsid w:val="0080461F"/>
    <w:rsid w:val="00804688"/>
    <w:rsid w:val="00804809"/>
    <w:rsid w:val="00804B6A"/>
    <w:rsid w:val="00804C7D"/>
    <w:rsid w:val="00804E77"/>
    <w:rsid w:val="008055AD"/>
    <w:rsid w:val="008055B7"/>
    <w:rsid w:val="00805F98"/>
    <w:rsid w:val="008064C9"/>
    <w:rsid w:val="00807380"/>
    <w:rsid w:val="00807670"/>
    <w:rsid w:val="00807D3A"/>
    <w:rsid w:val="0081061D"/>
    <w:rsid w:val="00810DC7"/>
    <w:rsid w:val="00811642"/>
    <w:rsid w:val="008117CC"/>
    <w:rsid w:val="00812261"/>
    <w:rsid w:val="00812449"/>
    <w:rsid w:val="00812473"/>
    <w:rsid w:val="0081267C"/>
    <w:rsid w:val="008136DA"/>
    <w:rsid w:val="00813AEE"/>
    <w:rsid w:val="00813CA5"/>
    <w:rsid w:val="008145A9"/>
    <w:rsid w:val="00814AD5"/>
    <w:rsid w:val="00814E7B"/>
    <w:rsid w:val="008150AE"/>
    <w:rsid w:val="0081555C"/>
    <w:rsid w:val="00815708"/>
    <w:rsid w:val="00815B7A"/>
    <w:rsid w:val="00815E3E"/>
    <w:rsid w:val="00816805"/>
    <w:rsid w:val="0081732D"/>
    <w:rsid w:val="00817B68"/>
    <w:rsid w:val="00817CCF"/>
    <w:rsid w:val="00820650"/>
    <w:rsid w:val="008209A6"/>
    <w:rsid w:val="00820AEB"/>
    <w:rsid w:val="00820ED4"/>
    <w:rsid w:val="00821197"/>
    <w:rsid w:val="0082129B"/>
    <w:rsid w:val="00821C4F"/>
    <w:rsid w:val="00821D26"/>
    <w:rsid w:val="0082219D"/>
    <w:rsid w:val="00822262"/>
    <w:rsid w:val="0082291F"/>
    <w:rsid w:val="008229E7"/>
    <w:rsid w:val="00822D4D"/>
    <w:rsid w:val="008230FD"/>
    <w:rsid w:val="00823770"/>
    <w:rsid w:val="00823A6D"/>
    <w:rsid w:val="00823BF0"/>
    <w:rsid w:val="00823D15"/>
    <w:rsid w:val="008241C2"/>
    <w:rsid w:val="008242E8"/>
    <w:rsid w:val="00824565"/>
    <w:rsid w:val="008247CE"/>
    <w:rsid w:val="00824E85"/>
    <w:rsid w:val="00825500"/>
    <w:rsid w:val="008259AD"/>
    <w:rsid w:val="00825B6A"/>
    <w:rsid w:val="00826B73"/>
    <w:rsid w:val="008272C8"/>
    <w:rsid w:val="00830258"/>
    <w:rsid w:val="008302DE"/>
    <w:rsid w:val="00830AA4"/>
    <w:rsid w:val="00831574"/>
    <w:rsid w:val="008316AE"/>
    <w:rsid w:val="00831C15"/>
    <w:rsid w:val="00832764"/>
    <w:rsid w:val="008334B5"/>
    <w:rsid w:val="008336AF"/>
    <w:rsid w:val="0083371A"/>
    <w:rsid w:val="00833D5E"/>
    <w:rsid w:val="00834701"/>
    <w:rsid w:val="008349FE"/>
    <w:rsid w:val="00834A37"/>
    <w:rsid w:val="00834A58"/>
    <w:rsid w:val="00834E44"/>
    <w:rsid w:val="00834E68"/>
    <w:rsid w:val="008358DB"/>
    <w:rsid w:val="00835A8B"/>
    <w:rsid w:val="00835BB1"/>
    <w:rsid w:val="00835EAB"/>
    <w:rsid w:val="008361AA"/>
    <w:rsid w:val="00836A11"/>
    <w:rsid w:val="00837221"/>
    <w:rsid w:val="00837698"/>
    <w:rsid w:val="00837CAC"/>
    <w:rsid w:val="00837FF0"/>
    <w:rsid w:val="0083D10E"/>
    <w:rsid w:val="0084047F"/>
    <w:rsid w:val="00840CCF"/>
    <w:rsid w:val="00840CEA"/>
    <w:rsid w:val="00840E3F"/>
    <w:rsid w:val="008413AF"/>
    <w:rsid w:val="00841A48"/>
    <w:rsid w:val="00841BD0"/>
    <w:rsid w:val="00841CDC"/>
    <w:rsid w:val="00842089"/>
    <w:rsid w:val="00842438"/>
    <w:rsid w:val="0084383D"/>
    <w:rsid w:val="00843A1F"/>
    <w:rsid w:val="00843F31"/>
    <w:rsid w:val="00844481"/>
    <w:rsid w:val="00844958"/>
    <w:rsid w:val="0084579C"/>
    <w:rsid w:val="00845CA1"/>
    <w:rsid w:val="00846A47"/>
    <w:rsid w:val="00846B4C"/>
    <w:rsid w:val="00846F3E"/>
    <w:rsid w:val="0085103A"/>
    <w:rsid w:val="008520AD"/>
    <w:rsid w:val="00852407"/>
    <w:rsid w:val="008524F2"/>
    <w:rsid w:val="00852BD9"/>
    <w:rsid w:val="00852C70"/>
    <w:rsid w:val="008531B4"/>
    <w:rsid w:val="0085320A"/>
    <w:rsid w:val="00853223"/>
    <w:rsid w:val="0085336F"/>
    <w:rsid w:val="0085350D"/>
    <w:rsid w:val="0085352E"/>
    <w:rsid w:val="0085393E"/>
    <w:rsid w:val="00853AA8"/>
    <w:rsid w:val="00853DE3"/>
    <w:rsid w:val="008544C1"/>
    <w:rsid w:val="00854963"/>
    <w:rsid w:val="008553BE"/>
    <w:rsid w:val="00855576"/>
    <w:rsid w:val="00855AA0"/>
    <w:rsid w:val="008566D9"/>
    <w:rsid w:val="008568D8"/>
    <w:rsid w:val="008569CD"/>
    <w:rsid w:val="008569FB"/>
    <w:rsid w:val="008574C8"/>
    <w:rsid w:val="008605EB"/>
    <w:rsid w:val="00860C3D"/>
    <w:rsid w:val="00860EC0"/>
    <w:rsid w:val="0086120A"/>
    <w:rsid w:val="0086178F"/>
    <w:rsid w:val="008623FE"/>
    <w:rsid w:val="008624D7"/>
    <w:rsid w:val="00862789"/>
    <w:rsid w:val="00862BEE"/>
    <w:rsid w:val="00862E1B"/>
    <w:rsid w:val="00863550"/>
    <w:rsid w:val="00864099"/>
    <w:rsid w:val="00864439"/>
    <w:rsid w:val="00864A9E"/>
    <w:rsid w:val="00864E65"/>
    <w:rsid w:val="00865399"/>
    <w:rsid w:val="0086549E"/>
    <w:rsid w:val="00866321"/>
    <w:rsid w:val="00866D92"/>
    <w:rsid w:val="00867D0A"/>
    <w:rsid w:val="00870559"/>
    <w:rsid w:val="008707A8"/>
    <w:rsid w:val="008711EC"/>
    <w:rsid w:val="008715A3"/>
    <w:rsid w:val="0087190D"/>
    <w:rsid w:val="00871CB6"/>
    <w:rsid w:val="008728C4"/>
    <w:rsid w:val="00873603"/>
    <w:rsid w:val="00873911"/>
    <w:rsid w:val="00873926"/>
    <w:rsid w:val="00874570"/>
    <w:rsid w:val="00874E78"/>
    <w:rsid w:val="008761C0"/>
    <w:rsid w:val="00876938"/>
    <w:rsid w:val="008772B0"/>
    <w:rsid w:val="00877803"/>
    <w:rsid w:val="008807B1"/>
    <w:rsid w:val="00881294"/>
    <w:rsid w:val="008812C5"/>
    <w:rsid w:val="00881698"/>
    <w:rsid w:val="00881C4D"/>
    <w:rsid w:val="008820E4"/>
    <w:rsid w:val="008824A8"/>
    <w:rsid w:val="008830EB"/>
    <w:rsid w:val="00884FC9"/>
    <w:rsid w:val="008855E7"/>
    <w:rsid w:val="00886040"/>
    <w:rsid w:val="0088606C"/>
    <w:rsid w:val="00886AF6"/>
    <w:rsid w:val="00887AD6"/>
    <w:rsid w:val="00887F1F"/>
    <w:rsid w:val="00887F44"/>
    <w:rsid w:val="00890418"/>
    <w:rsid w:val="008904E1"/>
    <w:rsid w:val="0089135F"/>
    <w:rsid w:val="00891E33"/>
    <w:rsid w:val="00891F1F"/>
    <w:rsid w:val="0089287A"/>
    <w:rsid w:val="0089289E"/>
    <w:rsid w:val="00892E1B"/>
    <w:rsid w:val="008934E6"/>
    <w:rsid w:val="00893563"/>
    <w:rsid w:val="00893FEB"/>
    <w:rsid w:val="00894964"/>
    <w:rsid w:val="00894983"/>
    <w:rsid w:val="00894A60"/>
    <w:rsid w:val="00894AC5"/>
    <w:rsid w:val="00894CED"/>
    <w:rsid w:val="00894FB4"/>
    <w:rsid w:val="008950CC"/>
    <w:rsid w:val="0089513C"/>
    <w:rsid w:val="00896447"/>
    <w:rsid w:val="008966F9"/>
    <w:rsid w:val="00896A50"/>
    <w:rsid w:val="00896A85"/>
    <w:rsid w:val="00896EE8"/>
    <w:rsid w:val="00897029"/>
    <w:rsid w:val="00897096"/>
    <w:rsid w:val="0089716E"/>
    <w:rsid w:val="00897233"/>
    <w:rsid w:val="008972C3"/>
    <w:rsid w:val="008973E7"/>
    <w:rsid w:val="00897910"/>
    <w:rsid w:val="00897CA7"/>
    <w:rsid w:val="008A0101"/>
    <w:rsid w:val="008A0D41"/>
    <w:rsid w:val="008A23E6"/>
    <w:rsid w:val="008A2F54"/>
    <w:rsid w:val="008A31B9"/>
    <w:rsid w:val="008A3473"/>
    <w:rsid w:val="008A397C"/>
    <w:rsid w:val="008A45B9"/>
    <w:rsid w:val="008A45E5"/>
    <w:rsid w:val="008A4E3A"/>
    <w:rsid w:val="008A570C"/>
    <w:rsid w:val="008A59E6"/>
    <w:rsid w:val="008A5F46"/>
    <w:rsid w:val="008A625B"/>
    <w:rsid w:val="008A62B8"/>
    <w:rsid w:val="008A6FE5"/>
    <w:rsid w:val="008A733D"/>
    <w:rsid w:val="008A78BD"/>
    <w:rsid w:val="008A7AF3"/>
    <w:rsid w:val="008A7C58"/>
    <w:rsid w:val="008B00C2"/>
    <w:rsid w:val="008B0C6A"/>
    <w:rsid w:val="008B10E3"/>
    <w:rsid w:val="008B116E"/>
    <w:rsid w:val="008B16F6"/>
    <w:rsid w:val="008B1784"/>
    <w:rsid w:val="008B1C84"/>
    <w:rsid w:val="008B1EEE"/>
    <w:rsid w:val="008B2264"/>
    <w:rsid w:val="008B251B"/>
    <w:rsid w:val="008B2F71"/>
    <w:rsid w:val="008B346C"/>
    <w:rsid w:val="008B34DC"/>
    <w:rsid w:val="008B35BE"/>
    <w:rsid w:val="008B3F81"/>
    <w:rsid w:val="008B517F"/>
    <w:rsid w:val="008B5F31"/>
    <w:rsid w:val="008B64A0"/>
    <w:rsid w:val="008B64ED"/>
    <w:rsid w:val="008B651E"/>
    <w:rsid w:val="008B6B45"/>
    <w:rsid w:val="008B6C01"/>
    <w:rsid w:val="008B6D24"/>
    <w:rsid w:val="008B6FBB"/>
    <w:rsid w:val="008B70C2"/>
    <w:rsid w:val="008B7BD5"/>
    <w:rsid w:val="008B7E59"/>
    <w:rsid w:val="008C016F"/>
    <w:rsid w:val="008C0C5A"/>
    <w:rsid w:val="008C30DC"/>
    <w:rsid w:val="008C30FF"/>
    <w:rsid w:val="008C31A9"/>
    <w:rsid w:val="008C36D3"/>
    <w:rsid w:val="008C3952"/>
    <w:rsid w:val="008C4075"/>
    <w:rsid w:val="008C4B0E"/>
    <w:rsid w:val="008C4FB4"/>
    <w:rsid w:val="008C505F"/>
    <w:rsid w:val="008C52EC"/>
    <w:rsid w:val="008C535D"/>
    <w:rsid w:val="008C5400"/>
    <w:rsid w:val="008C7040"/>
    <w:rsid w:val="008C78E3"/>
    <w:rsid w:val="008D0120"/>
    <w:rsid w:val="008D013B"/>
    <w:rsid w:val="008D01BE"/>
    <w:rsid w:val="008D0D44"/>
    <w:rsid w:val="008D0DD7"/>
    <w:rsid w:val="008D11CD"/>
    <w:rsid w:val="008D1A51"/>
    <w:rsid w:val="008D1ADE"/>
    <w:rsid w:val="008D290B"/>
    <w:rsid w:val="008D2A17"/>
    <w:rsid w:val="008D2F81"/>
    <w:rsid w:val="008D3179"/>
    <w:rsid w:val="008D37E1"/>
    <w:rsid w:val="008D3964"/>
    <w:rsid w:val="008D3AF8"/>
    <w:rsid w:val="008D3F1C"/>
    <w:rsid w:val="008D49BC"/>
    <w:rsid w:val="008D6108"/>
    <w:rsid w:val="008D6245"/>
    <w:rsid w:val="008D6298"/>
    <w:rsid w:val="008D6841"/>
    <w:rsid w:val="008D6A9D"/>
    <w:rsid w:val="008D7515"/>
    <w:rsid w:val="008D7874"/>
    <w:rsid w:val="008E0964"/>
    <w:rsid w:val="008E0C1C"/>
    <w:rsid w:val="008E15FD"/>
    <w:rsid w:val="008E1FF4"/>
    <w:rsid w:val="008E2421"/>
    <w:rsid w:val="008E2A6F"/>
    <w:rsid w:val="008E36B3"/>
    <w:rsid w:val="008E3753"/>
    <w:rsid w:val="008E3F08"/>
    <w:rsid w:val="008E3F10"/>
    <w:rsid w:val="008E4587"/>
    <w:rsid w:val="008E4B2A"/>
    <w:rsid w:val="008E538A"/>
    <w:rsid w:val="008E5ED0"/>
    <w:rsid w:val="008E6559"/>
    <w:rsid w:val="008E690E"/>
    <w:rsid w:val="008E695D"/>
    <w:rsid w:val="008E7273"/>
    <w:rsid w:val="008E72F9"/>
    <w:rsid w:val="008F0983"/>
    <w:rsid w:val="008F09D5"/>
    <w:rsid w:val="008F1217"/>
    <w:rsid w:val="008F14B7"/>
    <w:rsid w:val="008F1B1F"/>
    <w:rsid w:val="008F1D90"/>
    <w:rsid w:val="008F1ED1"/>
    <w:rsid w:val="008F1FF0"/>
    <w:rsid w:val="008F2845"/>
    <w:rsid w:val="008F2C32"/>
    <w:rsid w:val="008F2C72"/>
    <w:rsid w:val="008F3167"/>
    <w:rsid w:val="008F3455"/>
    <w:rsid w:val="008F3580"/>
    <w:rsid w:val="008F3BE5"/>
    <w:rsid w:val="008F4626"/>
    <w:rsid w:val="008F47A5"/>
    <w:rsid w:val="008F6580"/>
    <w:rsid w:val="008F6620"/>
    <w:rsid w:val="008F70A9"/>
    <w:rsid w:val="008F7BBF"/>
    <w:rsid w:val="0090022C"/>
    <w:rsid w:val="00900425"/>
    <w:rsid w:val="00900C3B"/>
    <w:rsid w:val="00901134"/>
    <w:rsid w:val="0090120A"/>
    <w:rsid w:val="00902601"/>
    <w:rsid w:val="00902827"/>
    <w:rsid w:val="00902CD2"/>
    <w:rsid w:val="0090343E"/>
    <w:rsid w:val="00903900"/>
    <w:rsid w:val="00903CF4"/>
    <w:rsid w:val="00903EB8"/>
    <w:rsid w:val="00904437"/>
    <w:rsid w:val="00904710"/>
    <w:rsid w:val="0090488B"/>
    <w:rsid w:val="00904C9A"/>
    <w:rsid w:val="009053EC"/>
    <w:rsid w:val="009054B3"/>
    <w:rsid w:val="009057D3"/>
    <w:rsid w:val="00905B01"/>
    <w:rsid w:val="0090634C"/>
    <w:rsid w:val="00907160"/>
    <w:rsid w:val="0090726E"/>
    <w:rsid w:val="009077E9"/>
    <w:rsid w:val="00910340"/>
    <w:rsid w:val="009105A5"/>
    <w:rsid w:val="009110FC"/>
    <w:rsid w:val="00911738"/>
    <w:rsid w:val="00912152"/>
    <w:rsid w:val="00912A39"/>
    <w:rsid w:val="00912CBA"/>
    <w:rsid w:val="009133F4"/>
    <w:rsid w:val="009136A8"/>
    <w:rsid w:val="00913CC9"/>
    <w:rsid w:val="009141E3"/>
    <w:rsid w:val="0091448C"/>
    <w:rsid w:val="00914603"/>
    <w:rsid w:val="009148E8"/>
    <w:rsid w:val="00914AE2"/>
    <w:rsid w:val="00914E8A"/>
    <w:rsid w:val="0091521A"/>
    <w:rsid w:val="009154CA"/>
    <w:rsid w:val="00916384"/>
    <w:rsid w:val="009163E6"/>
    <w:rsid w:val="0091650C"/>
    <w:rsid w:val="00917313"/>
    <w:rsid w:val="009179AE"/>
    <w:rsid w:val="00917ACA"/>
    <w:rsid w:val="00920A0C"/>
    <w:rsid w:val="00920F89"/>
    <w:rsid w:val="00921778"/>
    <w:rsid w:val="009217B8"/>
    <w:rsid w:val="0092190F"/>
    <w:rsid w:val="00921938"/>
    <w:rsid w:val="00921C21"/>
    <w:rsid w:val="00921EBC"/>
    <w:rsid w:val="00922092"/>
    <w:rsid w:val="0092237D"/>
    <w:rsid w:val="009223EE"/>
    <w:rsid w:val="00922A25"/>
    <w:rsid w:val="00923477"/>
    <w:rsid w:val="00923906"/>
    <w:rsid w:val="00923EBB"/>
    <w:rsid w:val="00923F3E"/>
    <w:rsid w:val="009242AE"/>
    <w:rsid w:val="0092448D"/>
    <w:rsid w:val="00924B9B"/>
    <w:rsid w:val="009266D4"/>
    <w:rsid w:val="00926DC3"/>
    <w:rsid w:val="00926F01"/>
    <w:rsid w:val="0092ADC7"/>
    <w:rsid w:val="009302DB"/>
    <w:rsid w:val="009306F1"/>
    <w:rsid w:val="00930757"/>
    <w:rsid w:val="00930DE1"/>
    <w:rsid w:val="00931241"/>
    <w:rsid w:val="009313C4"/>
    <w:rsid w:val="009315E7"/>
    <w:rsid w:val="009317DD"/>
    <w:rsid w:val="00931944"/>
    <w:rsid w:val="0093249A"/>
    <w:rsid w:val="00932729"/>
    <w:rsid w:val="00933AC3"/>
    <w:rsid w:val="00933FA7"/>
    <w:rsid w:val="009341F2"/>
    <w:rsid w:val="00934555"/>
    <w:rsid w:val="00934598"/>
    <w:rsid w:val="00934901"/>
    <w:rsid w:val="00934AF3"/>
    <w:rsid w:val="00934AFB"/>
    <w:rsid w:val="00934DF1"/>
    <w:rsid w:val="00934F5A"/>
    <w:rsid w:val="0093504D"/>
    <w:rsid w:val="0093517B"/>
    <w:rsid w:val="0093585C"/>
    <w:rsid w:val="00935DCE"/>
    <w:rsid w:val="00936368"/>
    <w:rsid w:val="00936569"/>
    <w:rsid w:val="0093726A"/>
    <w:rsid w:val="00937F92"/>
    <w:rsid w:val="00940BFA"/>
    <w:rsid w:val="00941985"/>
    <w:rsid w:val="00941A52"/>
    <w:rsid w:val="00941CA9"/>
    <w:rsid w:val="00942372"/>
    <w:rsid w:val="00942FC2"/>
    <w:rsid w:val="00943213"/>
    <w:rsid w:val="009434A7"/>
    <w:rsid w:val="00943717"/>
    <w:rsid w:val="009437FD"/>
    <w:rsid w:val="00943861"/>
    <w:rsid w:val="00943D63"/>
    <w:rsid w:val="00943EDF"/>
    <w:rsid w:val="0094551E"/>
    <w:rsid w:val="00945569"/>
    <w:rsid w:val="00945C6F"/>
    <w:rsid w:val="00945FD2"/>
    <w:rsid w:val="00946727"/>
    <w:rsid w:val="00946DEE"/>
    <w:rsid w:val="00947266"/>
    <w:rsid w:val="00947D26"/>
    <w:rsid w:val="009500BD"/>
    <w:rsid w:val="009502ED"/>
    <w:rsid w:val="0095051E"/>
    <w:rsid w:val="00950D01"/>
    <w:rsid w:val="009510C6"/>
    <w:rsid w:val="00951937"/>
    <w:rsid w:val="0095212C"/>
    <w:rsid w:val="0095268E"/>
    <w:rsid w:val="00952A43"/>
    <w:rsid w:val="00952DA8"/>
    <w:rsid w:val="00952FD4"/>
    <w:rsid w:val="00953C17"/>
    <w:rsid w:val="00954315"/>
    <w:rsid w:val="00954338"/>
    <w:rsid w:val="00954972"/>
    <w:rsid w:val="00954ABF"/>
    <w:rsid w:val="00954B9D"/>
    <w:rsid w:val="00954DAB"/>
    <w:rsid w:val="009550AA"/>
    <w:rsid w:val="00956728"/>
    <w:rsid w:val="00957181"/>
    <w:rsid w:val="0095732C"/>
    <w:rsid w:val="00957FC9"/>
    <w:rsid w:val="009601DF"/>
    <w:rsid w:val="00960515"/>
    <w:rsid w:val="009608A0"/>
    <w:rsid w:val="00960A0E"/>
    <w:rsid w:val="00960C96"/>
    <w:rsid w:val="00960DA0"/>
    <w:rsid w:val="00960E2C"/>
    <w:rsid w:val="009613A6"/>
    <w:rsid w:val="009613DD"/>
    <w:rsid w:val="00961407"/>
    <w:rsid w:val="0096166D"/>
    <w:rsid w:val="00961E5B"/>
    <w:rsid w:val="0096237B"/>
    <w:rsid w:val="00962480"/>
    <w:rsid w:val="009624FD"/>
    <w:rsid w:val="00962FE4"/>
    <w:rsid w:val="009632CA"/>
    <w:rsid w:val="009638BF"/>
    <w:rsid w:val="0096397C"/>
    <w:rsid w:val="00963D29"/>
    <w:rsid w:val="00964C44"/>
    <w:rsid w:val="00965139"/>
    <w:rsid w:val="00965156"/>
    <w:rsid w:val="0096637A"/>
    <w:rsid w:val="009663D9"/>
    <w:rsid w:val="00966B2E"/>
    <w:rsid w:val="00966D26"/>
    <w:rsid w:val="00967601"/>
    <w:rsid w:val="00970421"/>
    <w:rsid w:val="009705B6"/>
    <w:rsid w:val="00970632"/>
    <w:rsid w:val="00971417"/>
    <w:rsid w:val="009714FA"/>
    <w:rsid w:val="00971A1B"/>
    <w:rsid w:val="00971C3E"/>
    <w:rsid w:val="0097266D"/>
    <w:rsid w:val="0097289C"/>
    <w:rsid w:val="00973269"/>
    <w:rsid w:val="0097365F"/>
    <w:rsid w:val="009738C8"/>
    <w:rsid w:val="00973B0D"/>
    <w:rsid w:val="00973E74"/>
    <w:rsid w:val="00973EDB"/>
    <w:rsid w:val="00974093"/>
    <w:rsid w:val="009743AB"/>
    <w:rsid w:val="00974C18"/>
    <w:rsid w:val="00975A23"/>
    <w:rsid w:val="00975E4A"/>
    <w:rsid w:val="00977AB7"/>
    <w:rsid w:val="00977CC8"/>
    <w:rsid w:val="00977F52"/>
    <w:rsid w:val="00980496"/>
    <w:rsid w:val="00980599"/>
    <w:rsid w:val="00980838"/>
    <w:rsid w:val="009811BA"/>
    <w:rsid w:val="009814F9"/>
    <w:rsid w:val="009830C7"/>
    <w:rsid w:val="00983A1B"/>
    <w:rsid w:val="00983ED2"/>
    <w:rsid w:val="00984372"/>
    <w:rsid w:val="0098449C"/>
    <w:rsid w:val="009844F7"/>
    <w:rsid w:val="00984515"/>
    <w:rsid w:val="009845B4"/>
    <w:rsid w:val="00984BD9"/>
    <w:rsid w:val="00984E97"/>
    <w:rsid w:val="00985DEC"/>
    <w:rsid w:val="00986051"/>
    <w:rsid w:val="009860DA"/>
    <w:rsid w:val="00986127"/>
    <w:rsid w:val="00986152"/>
    <w:rsid w:val="009861DF"/>
    <w:rsid w:val="00986221"/>
    <w:rsid w:val="009867B7"/>
    <w:rsid w:val="00986891"/>
    <w:rsid w:val="0098773F"/>
    <w:rsid w:val="009878BF"/>
    <w:rsid w:val="00987BDF"/>
    <w:rsid w:val="0099017C"/>
    <w:rsid w:val="00991BA6"/>
    <w:rsid w:val="00992238"/>
    <w:rsid w:val="009927EA"/>
    <w:rsid w:val="009939BE"/>
    <w:rsid w:val="00993B8B"/>
    <w:rsid w:val="00993F2B"/>
    <w:rsid w:val="00993FBD"/>
    <w:rsid w:val="0099457B"/>
    <w:rsid w:val="00994EAE"/>
    <w:rsid w:val="00995062"/>
    <w:rsid w:val="00995AD9"/>
    <w:rsid w:val="00995D12"/>
    <w:rsid w:val="00995FD9"/>
    <w:rsid w:val="00996336"/>
    <w:rsid w:val="00996630"/>
    <w:rsid w:val="00997675"/>
    <w:rsid w:val="009A160E"/>
    <w:rsid w:val="009A1643"/>
    <w:rsid w:val="009A1828"/>
    <w:rsid w:val="009A1923"/>
    <w:rsid w:val="009A1CA1"/>
    <w:rsid w:val="009A2664"/>
    <w:rsid w:val="009A298C"/>
    <w:rsid w:val="009A2B81"/>
    <w:rsid w:val="009A32A3"/>
    <w:rsid w:val="009A3483"/>
    <w:rsid w:val="009A355D"/>
    <w:rsid w:val="009A373C"/>
    <w:rsid w:val="009A3F73"/>
    <w:rsid w:val="009A4582"/>
    <w:rsid w:val="009A4B2C"/>
    <w:rsid w:val="009A4E73"/>
    <w:rsid w:val="009A51D4"/>
    <w:rsid w:val="009A5697"/>
    <w:rsid w:val="009A5A31"/>
    <w:rsid w:val="009A62D4"/>
    <w:rsid w:val="009A6337"/>
    <w:rsid w:val="009A6B61"/>
    <w:rsid w:val="009A6DB0"/>
    <w:rsid w:val="009A7BE2"/>
    <w:rsid w:val="009A7DC3"/>
    <w:rsid w:val="009B1D2A"/>
    <w:rsid w:val="009B26BD"/>
    <w:rsid w:val="009B2A82"/>
    <w:rsid w:val="009B2ECC"/>
    <w:rsid w:val="009B2F20"/>
    <w:rsid w:val="009B35AF"/>
    <w:rsid w:val="009B36E0"/>
    <w:rsid w:val="009B3848"/>
    <w:rsid w:val="009B3B08"/>
    <w:rsid w:val="009B3F53"/>
    <w:rsid w:val="009B41FB"/>
    <w:rsid w:val="009B4BDC"/>
    <w:rsid w:val="009B5FA4"/>
    <w:rsid w:val="009B606C"/>
    <w:rsid w:val="009B6114"/>
    <w:rsid w:val="009B62D5"/>
    <w:rsid w:val="009B6454"/>
    <w:rsid w:val="009B67D0"/>
    <w:rsid w:val="009B6E22"/>
    <w:rsid w:val="009B7089"/>
    <w:rsid w:val="009B757B"/>
    <w:rsid w:val="009B7A74"/>
    <w:rsid w:val="009B7AE2"/>
    <w:rsid w:val="009C0352"/>
    <w:rsid w:val="009C0414"/>
    <w:rsid w:val="009C0688"/>
    <w:rsid w:val="009C0854"/>
    <w:rsid w:val="009C21B8"/>
    <w:rsid w:val="009C2577"/>
    <w:rsid w:val="009C29B8"/>
    <w:rsid w:val="009C2ECA"/>
    <w:rsid w:val="009C35F2"/>
    <w:rsid w:val="009C3A8A"/>
    <w:rsid w:val="009C3B38"/>
    <w:rsid w:val="009C40E2"/>
    <w:rsid w:val="009C46F4"/>
    <w:rsid w:val="009C4C5E"/>
    <w:rsid w:val="009C4CD8"/>
    <w:rsid w:val="009C5DA2"/>
    <w:rsid w:val="009C5E87"/>
    <w:rsid w:val="009C63FD"/>
    <w:rsid w:val="009C7569"/>
    <w:rsid w:val="009C76C6"/>
    <w:rsid w:val="009C7F3D"/>
    <w:rsid w:val="009D1699"/>
    <w:rsid w:val="009D1844"/>
    <w:rsid w:val="009D18A5"/>
    <w:rsid w:val="009D1AFF"/>
    <w:rsid w:val="009D1E9A"/>
    <w:rsid w:val="009D2037"/>
    <w:rsid w:val="009D213D"/>
    <w:rsid w:val="009D238E"/>
    <w:rsid w:val="009D2459"/>
    <w:rsid w:val="009D2DF5"/>
    <w:rsid w:val="009D2F1F"/>
    <w:rsid w:val="009D3147"/>
    <w:rsid w:val="009D36A5"/>
    <w:rsid w:val="009D403D"/>
    <w:rsid w:val="009D427E"/>
    <w:rsid w:val="009D44F5"/>
    <w:rsid w:val="009D47FB"/>
    <w:rsid w:val="009D4973"/>
    <w:rsid w:val="009D59CC"/>
    <w:rsid w:val="009D632C"/>
    <w:rsid w:val="009D6835"/>
    <w:rsid w:val="009D6875"/>
    <w:rsid w:val="009D7508"/>
    <w:rsid w:val="009D752F"/>
    <w:rsid w:val="009E079D"/>
    <w:rsid w:val="009E0DF3"/>
    <w:rsid w:val="009E16FF"/>
    <w:rsid w:val="009E1765"/>
    <w:rsid w:val="009E1790"/>
    <w:rsid w:val="009E18EC"/>
    <w:rsid w:val="009E1B81"/>
    <w:rsid w:val="009E1EDD"/>
    <w:rsid w:val="009E1EF4"/>
    <w:rsid w:val="009E2418"/>
    <w:rsid w:val="009E24C8"/>
    <w:rsid w:val="009E2535"/>
    <w:rsid w:val="009E2864"/>
    <w:rsid w:val="009E2AC9"/>
    <w:rsid w:val="009E2BC1"/>
    <w:rsid w:val="009E2CAF"/>
    <w:rsid w:val="009E3289"/>
    <w:rsid w:val="009E32C5"/>
    <w:rsid w:val="009E3BA4"/>
    <w:rsid w:val="009E4CAB"/>
    <w:rsid w:val="009E52D3"/>
    <w:rsid w:val="009E54E1"/>
    <w:rsid w:val="009E5550"/>
    <w:rsid w:val="009E5AC8"/>
    <w:rsid w:val="009E5CE6"/>
    <w:rsid w:val="009E6114"/>
    <w:rsid w:val="009E61D8"/>
    <w:rsid w:val="009E6204"/>
    <w:rsid w:val="009E72D8"/>
    <w:rsid w:val="009E73D0"/>
    <w:rsid w:val="009E7AC0"/>
    <w:rsid w:val="009E7C37"/>
    <w:rsid w:val="009F0549"/>
    <w:rsid w:val="009F0765"/>
    <w:rsid w:val="009F1326"/>
    <w:rsid w:val="009F1940"/>
    <w:rsid w:val="009F1B45"/>
    <w:rsid w:val="009F2C61"/>
    <w:rsid w:val="009F33CA"/>
    <w:rsid w:val="009F4C78"/>
    <w:rsid w:val="009F4F6C"/>
    <w:rsid w:val="009F56B0"/>
    <w:rsid w:val="009F5A33"/>
    <w:rsid w:val="009F6262"/>
    <w:rsid w:val="009F672B"/>
    <w:rsid w:val="009F6B84"/>
    <w:rsid w:val="009F701D"/>
    <w:rsid w:val="009F73A4"/>
    <w:rsid w:val="009F79D8"/>
    <w:rsid w:val="009F7C8E"/>
    <w:rsid w:val="00A00499"/>
    <w:rsid w:val="00A00AF2"/>
    <w:rsid w:val="00A00C6C"/>
    <w:rsid w:val="00A012C5"/>
    <w:rsid w:val="00A01747"/>
    <w:rsid w:val="00A01B45"/>
    <w:rsid w:val="00A0270D"/>
    <w:rsid w:val="00A03F6A"/>
    <w:rsid w:val="00A04752"/>
    <w:rsid w:val="00A04CBE"/>
    <w:rsid w:val="00A04E83"/>
    <w:rsid w:val="00A057C1"/>
    <w:rsid w:val="00A05FC9"/>
    <w:rsid w:val="00A065DB"/>
    <w:rsid w:val="00A071CC"/>
    <w:rsid w:val="00A078EB"/>
    <w:rsid w:val="00A1007E"/>
    <w:rsid w:val="00A10343"/>
    <w:rsid w:val="00A107AA"/>
    <w:rsid w:val="00A10831"/>
    <w:rsid w:val="00A11A1C"/>
    <w:rsid w:val="00A11F39"/>
    <w:rsid w:val="00A120DE"/>
    <w:rsid w:val="00A12979"/>
    <w:rsid w:val="00A13B67"/>
    <w:rsid w:val="00A13F0B"/>
    <w:rsid w:val="00A13F9D"/>
    <w:rsid w:val="00A16264"/>
    <w:rsid w:val="00A16C8C"/>
    <w:rsid w:val="00A175D7"/>
    <w:rsid w:val="00A17944"/>
    <w:rsid w:val="00A179F5"/>
    <w:rsid w:val="00A2018E"/>
    <w:rsid w:val="00A202AB"/>
    <w:rsid w:val="00A20A86"/>
    <w:rsid w:val="00A20B72"/>
    <w:rsid w:val="00A20F4D"/>
    <w:rsid w:val="00A210EC"/>
    <w:rsid w:val="00A212CC"/>
    <w:rsid w:val="00A212E7"/>
    <w:rsid w:val="00A21572"/>
    <w:rsid w:val="00A2157A"/>
    <w:rsid w:val="00A21D7E"/>
    <w:rsid w:val="00A21FE3"/>
    <w:rsid w:val="00A220E0"/>
    <w:rsid w:val="00A221C4"/>
    <w:rsid w:val="00A2264E"/>
    <w:rsid w:val="00A23281"/>
    <w:rsid w:val="00A23825"/>
    <w:rsid w:val="00A239AC"/>
    <w:rsid w:val="00A23E06"/>
    <w:rsid w:val="00A2483C"/>
    <w:rsid w:val="00A25503"/>
    <w:rsid w:val="00A2581A"/>
    <w:rsid w:val="00A25B6F"/>
    <w:rsid w:val="00A26031"/>
    <w:rsid w:val="00A2618F"/>
    <w:rsid w:val="00A2631D"/>
    <w:rsid w:val="00A264A5"/>
    <w:rsid w:val="00A26CD8"/>
    <w:rsid w:val="00A2760E"/>
    <w:rsid w:val="00A276C7"/>
    <w:rsid w:val="00A27774"/>
    <w:rsid w:val="00A27A19"/>
    <w:rsid w:val="00A304CD"/>
    <w:rsid w:val="00A3062A"/>
    <w:rsid w:val="00A308E2"/>
    <w:rsid w:val="00A30DBC"/>
    <w:rsid w:val="00A30F77"/>
    <w:rsid w:val="00A310A0"/>
    <w:rsid w:val="00A310D1"/>
    <w:rsid w:val="00A3125A"/>
    <w:rsid w:val="00A3166F"/>
    <w:rsid w:val="00A31931"/>
    <w:rsid w:val="00A31A5C"/>
    <w:rsid w:val="00A320B7"/>
    <w:rsid w:val="00A3245E"/>
    <w:rsid w:val="00A325B6"/>
    <w:rsid w:val="00A32E2F"/>
    <w:rsid w:val="00A33110"/>
    <w:rsid w:val="00A3321D"/>
    <w:rsid w:val="00A335E2"/>
    <w:rsid w:val="00A3385C"/>
    <w:rsid w:val="00A33C2A"/>
    <w:rsid w:val="00A33E51"/>
    <w:rsid w:val="00A340F2"/>
    <w:rsid w:val="00A34282"/>
    <w:rsid w:val="00A34B0B"/>
    <w:rsid w:val="00A3597B"/>
    <w:rsid w:val="00A3670A"/>
    <w:rsid w:val="00A37C27"/>
    <w:rsid w:val="00A37F79"/>
    <w:rsid w:val="00A4088D"/>
    <w:rsid w:val="00A40E11"/>
    <w:rsid w:val="00A4128B"/>
    <w:rsid w:val="00A41CC6"/>
    <w:rsid w:val="00A421A4"/>
    <w:rsid w:val="00A4250D"/>
    <w:rsid w:val="00A425AF"/>
    <w:rsid w:val="00A428C9"/>
    <w:rsid w:val="00A4398A"/>
    <w:rsid w:val="00A441D5"/>
    <w:rsid w:val="00A44C06"/>
    <w:rsid w:val="00A4528F"/>
    <w:rsid w:val="00A454AB"/>
    <w:rsid w:val="00A4550D"/>
    <w:rsid w:val="00A463D7"/>
    <w:rsid w:val="00A466B5"/>
    <w:rsid w:val="00A47367"/>
    <w:rsid w:val="00A476B2"/>
    <w:rsid w:val="00A478F9"/>
    <w:rsid w:val="00A47A1B"/>
    <w:rsid w:val="00A47BAE"/>
    <w:rsid w:val="00A47C71"/>
    <w:rsid w:val="00A5047D"/>
    <w:rsid w:val="00A50E51"/>
    <w:rsid w:val="00A51A71"/>
    <w:rsid w:val="00A51F26"/>
    <w:rsid w:val="00A52322"/>
    <w:rsid w:val="00A52461"/>
    <w:rsid w:val="00A52462"/>
    <w:rsid w:val="00A52646"/>
    <w:rsid w:val="00A532E7"/>
    <w:rsid w:val="00A53CC9"/>
    <w:rsid w:val="00A5452A"/>
    <w:rsid w:val="00A54675"/>
    <w:rsid w:val="00A54B52"/>
    <w:rsid w:val="00A54B88"/>
    <w:rsid w:val="00A54F87"/>
    <w:rsid w:val="00A55218"/>
    <w:rsid w:val="00A555D8"/>
    <w:rsid w:val="00A556E4"/>
    <w:rsid w:val="00A55AF3"/>
    <w:rsid w:val="00A55D5F"/>
    <w:rsid w:val="00A560E8"/>
    <w:rsid w:val="00A56BBC"/>
    <w:rsid w:val="00A56EB8"/>
    <w:rsid w:val="00A574D6"/>
    <w:rsid w:val="00A579A9"/>
    <w:rsid w:val="00A57BCB"/>
    <w:rsid w:val="00A605EE"/>
    <w:rsid w:val="00A60C7B"/>
    <w:rsid w:val="00A60DAB"/>
    <w:rsid w:val="00A61239"/>
    <w:rsid w:val="00A617D9"/>
    <w:rsid w:val="00A61B75"/>
    <w:rsid w:val="00A61C95"/>
    <w:rsid w:val="00A61FD5"/>
    <w:rsid w:val="00A62B94"/>
    <w:rsid w:val="00A62BBC"/>
    <w:rsid w:val="00A632D2"/>
    <w:rsid w:val="00A636C1"/>
    <w:rsid w:val="00A638BB"/>
    <w:rsid w:val="00A63F7E"/>
    <w:rsid w:val="00A64533"/>
    <w:rsid w:val="00A651C0"/>
    <w:rsid w:val="00A65625"/>
    <w:rsid w:val="00A659F5"/>
    <w:rsid w:val="00A65E7B"/>
    <w:rsid w:val="00A66305"/>
    <w:rsid w:val="00A665F6"/>
    <w:rsid w:val="00A6661A"/>
    <w:rsid w:val="00A6690C"/>
    <w:rsid w:val="00A7046B"/>
    <w:rsid w:val="00A707AE"/>
    <w:rsid w:val="00A707B1"/>
    <w:rsid w:val="00A70A5D"/>
    <w:rsid w:val="00A70B93"/>
    <w:rsid w:val="00A719FE"/>
    <w:rsid w:val="00A71AC8"/>
    <w:rsid w:val="00A722DF"/>
    <w:rsid w:val="00A72966"/>
    <w:rsid w:val="00A72E75"/>
    <w:rsid w:val="00A73385"/>
    <w:rsid w:val="00A7357B"/>
    <w:rsid w:val="00A74182"/>
    <w:rsid w:val="00A741EB"/>
    <w:rsid w:val="00A74BAA"/>
    <w:rsid w:val="00A756B4"/>
    <w:rsid w:val="00A75A9F"/>
    <w:rsid w:val="00A76048"/>
    <w:rsid w:val="00A769D0"/>
    <w:rsid w:val="00A77DF3"/>
    <w:rsid w:val="00A80338"/>
    <w:rsid w:val="00A80E48"/>
    <w:rsid w:val="00A811DD"/>
    <w:rsid w:val="00A81D6B"/>
    <w:rsid w:val="00A823E6"/>
    <w:rsid w:val="00A82987"/>
    <w:rsid w:val="00A83521"/>
    <w:rsid w:val="00A8361D"/>
    <w:rsid w:val="00A83805"/>
    <w:rsid w:val="00A838E5"/>
    <w:rsid w:val="00A84E3C"/>
    <w:rsid w:val="00A8518D"/>
    <w:rsid w:val="00A85329"/>
    <w:rsid w:val="00A858FC"/>
    <w:rsid w:val="00A86138"/>
    <w:rsid w:val="00A86B30"/>
    <w:rsid w:val="00A86F65"/>
    <w:rsid w:val="00A8712C"/>
    <w:rsid w:val="00A8733C"/>
    <w:rsid w:val="00A87935"/>
    <w:rsid w:val="00A87D25"/>
    <w:rsid w:val="00A9060D"/>
    <w:rsid w:val="00A90A7D"/>
    <w:rsid w:val="00A91050"/>
    <w:rsid w:val="00A91A1F"/>
    <w:rsid w:val="00A9248A"/>
    <w:rsid w:val="00A9268A"/>
    <w:rsid w:val="00A93225"/>
    <w:rsid w:val="00A93FAE"/>
    <w:rsid w:val="00A9470C"/>
    <w:rsid w:val="00A9517B"/>
    <w:rsid w:val="00A95221"/>
    <w:rsid w:val="00A95B82"/>
    <w:rsid w:val="00A960F6"/>
    <w:rsid w:val="00A9634D"/>
    <w:rsid w:val="00A9656E"/>
    <w:rsid w:val="00A96D49"/>
    <w:rsid w:val="00A97034"/>
    <w:rsid w:val="00A974FC"/>
    <w:rsid w:val="00A97729"/>
    <w:rsid w:val="00A979A6"/>
    <w:rsid w:val="00A979B6"/>
    <w:rsid w:val="00A97C5F"/>
    <w:rsid w:val="00AA0011"/>
    <w:rsid w:val="00AA07E7"/>
    <w:rsid w:val="00AA0AAC"/>
    <w:rsid w:val="00AA0B0F"/>
    <w:rsid w:val="00AA0B8C"/>
    <w:rsid w:val="00AA1377"/>
    <w:rsid w:val="00AA1718"/>
    <w:rsid w:val="00AA1AC6"/>
    <w:rsid w:val="00AA1F81"/>
    <w:rsid w:val="00AA1FB0"/>
    <w:rsid w:val="00AA21B9"/>
    <w:rsid w:val="00AA25D4"/>
    <w:rsid w:val="00AA276B"/>
    <w:rsid w:val="00AA2938"/>
    <w:rsid w:val="00AA2CB8"/>
    <w:rsid w:val="00AA2ED2"/>
    <w:rsid w:val="00AA2F00"/>
    <w:rsid w:val="00AA326D"/>
    <w:rsid w:val="00AA3414"/>
    <w:rsid w:val="00AA3C29"/>
    <w:rsid w:val="00AA4068"/>
    <w:rsid w:val="00AA4221"/>
    <w:rsid w:val="00AA4B31"/>
    <w:rsid w:val="00AA4CAC"/>
    <w:rsid w:val="00AA5007"/>
    <w:rsid w:val="00AA5199"/>
    <w:rsid w:val="00AA5429"/>
    <w:rsid w:val="00AA5776"/>
    <w:rsid w:val="00AA5E6B"/>
    <w:rsid w:val="00AA5ED8"/>
    <w:rsid w:val="00AA61EB"/>
    <w:rsid w:val="00AA6518"/>
    <w:rsid w:val="00AA67AF"/>
    <w:rsid w:val="00AA6897"/>
    <w:rsid w:val="00AA69F6"/>
    <w:rsid w:val="00AA7EAA"/>
    <w:rsid w:val="00AA7FE7"/>
    <w:rsid w:val="00AB006F"/>
    <w:rsid w:val="00AB0307"/>
    <w:rsid w:val="00AB09FE"/>
    <w:rsid w:val="00AB0F96"/>
    <w:rsid w:val="00AB14FF"/>
    <w:rsid w:val="00AB15A8"/>
    <w:rsid w:val="00AB1A9B"/>
    <w:rsid w:val="00AB1D17"/>
    <w:rsid w:val="00AB21F8"/>
    <w:rsid w:val="00AB23B8"/>
    <w:rsid w:val="00AB262A"/>
    <w:rsid w:val="00AB2CFD"/>
    <w:rsid w:val="00AB3397"/>
    <w:rsid w:val="00AB3547"/>
    <w:rsid w:val="00AB3EAB"/>
    <w:rsid w:val="00AB4763"/>
    <w:rsid w:val="00AB4D2D"/>
    <w:rsid w:val="00AB51B0"/>
    <w:rsid w:val="00AB5359"/>
    <w:rsid w:val="00AB5B03"/>
    <w:rsid w:val="00AB5D11"/>
    <w:rsid w:val="00AB6A4B"/>
    <w:rsid w:val="00AB6F2C"/>
    <w:rsid w:val="00AB6F87"/>
    <w:rsid w:val="00AB7DA3"/>
    <w:rsid w:val="00AC000B"/>
    <w:rsid w:val="00AC0615"/>
    <w:rsid w:val="00AC1849"/>
    <w:rsid w:val="00AC2191"/>
    <w:rsid w:val="00AC34F9"/>
    <w:rsid w:val="00AC3BFB"/>
    <w:rsid w:val="00AC476B"/>
    <w:rsid w:val="00AC4AB9"/>
    <w:rsid w:val="00AC54D5"/>
    <w:rsid w:val="00AC54F3"/>
    <w:rsid w:val="00AC5F75"/>
    <w:rsid w:val="00AC61BC"/>
    <w:rsid w:val="00AC641B"/>
    <w:rsid w:val="00AC6472"/>
    <w:rsid w:val="00AC6963"/>
    <w:rsid w:val="00AC6CE1"/>
    <w:rsid w:val="00AC6D29"/>
    <w:rsid w:val="00AC7A9A"/>
    <w:rsid w:val="00AD0624"/>
    <w:rsid w:val="00AD0825"/>
    <w:rsid w:val="00AD12F9"/>
    <w:rsid w:val="00AD19F8"/>
    <w:rsid w:val="00AD1B58"/>
    <w:rsid w:val="00AD212B"/>
    <w:rsid w:val="00AD22F8"/>
    <w:rsid w:val="00AD256B"/>
    <w:rsid w:val="00AD2873"/>
    <w:rsid w:val="00AD2CA1"/>
    <w:rsid w:val="00AD3358"/>
    <w:rsid w:val="00AD335F"/>
    <w:rsid w:val="00AD3BB4"/>
    <w:rsid w:val="00AD3C05"/>
    <w:rsid w:val="00AD4D20"/>
    <w:rsid w:val="00AD4E38"/>
    <w:rsid w:val="00AD4EF0"/>
    <w:rsid w:val="00AD4FD6"/>
    <w:rsid w:val="00AD54AF"/>
    <w:rsid w:val="00AD598F"/>
    <w:rsid w:val="00AD66E0"/>
    <w:rsid w:val="00AD6C84"/>
    <w:rsid w:val="00AD7552"/>
    <w:rsid w:val="00AE04FA"/>
    <w:rsid w:val="00AE0590"/>
    <w:rsid w:val="00AE0C50"/>
    <w:rsid w:val="00AE266B"/>
    <w:rsid w:val="00AE2730"/>
    <w:rsid w:val="00AE36D5"/>
    <w:rsid w:val="00AE382C"/>
    <w:rsid w:val="00AE3D1A"/>
    <w:rsid w:val="00AE3D45"/>
    <w:rsid w:val="00AE414C"/>
    <w:rsid w:val="00AE4664"/>
    <w:rsid w:val="00AE4DCC"/>
    <w:rsid w:val="00AE6C0E"/>
    <w:rsid w:val="00AE758D"/>
    <w:rsid w:val="00AE772F"/>
    <w:rsid w:val="00AF1ABA"/>
    <w:rsid w:val="00AF1FD0"/>
    <w:rsid w:val="00AF2A5A"/>
    <w:rsid w:val="00AF2CD5"/>
    <w:rsid w:val="00AF2DC7"/>
    <w:rsid w:val="00AF2DF5"/>
    <w:rsid w:val="00AF322B"/>
    <w:rsid w:val="00AF3257"/>
    <w:rsid w:val="00AF3D33"/>
    <w:rsid w:val="00AF4306"/>
    <w:rsid w:val="00AF445D"/>
    <w:rsid w:val="00AF481A"/>
    <w:rsid w:val="00AF4A31"/>
    <w:rsid w:val="00AF5F0C"/>
    <w:rsid w:val="00AF6784"/>
    <w:rsid w:val="00AF67A4"/>
    <w:rsid w:val="00AF7881"/>
    <w:rsid w:val="00AF7A29"/>
    <w:rsid w:val="00AF7C0B"/>
    <w:rsid w:val="00AF7C30"/>
    <w:rsid w:val="00B00315"/>
    <w:rsid w:val="00B00BE4"/>
    <w:rsid w:val="00B00CB2"/>
    <w:rsid w:val="00B0151D"/>
    <w:rsid w:val="00B019AA"/>
    <w:rsid w:val="00B01D41"/>
    <w:rsid w:val="00B01F92"/>
    <w:rsid w:val="00B02124"/>
    <w:rsid w:val="00B02ECB"/>
    <w:rsid w:val="00B03005"/>
    <w:rsid w:val="00B03370"/>
    <w:rsid w:val="00B0390A"/>
    <w:rsid w:val="00B039B1"/>
    <w:rsid w:val="00B0464E"/>
    <w:rsid w:val="00B046C8"/>
    <w:rsid w:val="00B05057"/>
    <w:rsid w:val="00B05099"/>
    <w:rsid w:val="00B05AFB"/>
    <w:rsid w:val="00B05CC6"/>
    <w:rsid w:val="00B0700D"/>
    <w:rsid w:val="00B07018"/>
    <w:rsid w:val="00B10275"/>
    <w:rsid w:val="00B10529"/>
    <w:rsid w:val="00B10B1F"/>
    <w:rsid w:val="00B10D4C"/>
    <w:rsid w:val="00B111FC"/>
    <w:rsid w:val="00B1136D"/>
    <w:rsid w:val="00B114D2"/>
    <w:rsid w:val="00B11747"/>
    <w:rsid w:val="00B1187F"/>
    <w:rsid w:val="00B12F13"/>
    <w:rsid w:val="00B13347"/>
    <w:rsid w:val="00B133AA"/>
    <w:rsid w:val="00B13899"/>
    <w:rsid w:val="00B13A33"/>
    <w:rsid w:val="00B14499"/>
    <w:rsid w:val="00B14840"/>
    <w:rsid w:val="00B14958"/>
    <w:rsid w:val="00B156BA"/>
    <w:rsid w:val="00B161EF"/>
    <w:rsid w:val="00B16272"/>
    <w:rsid w:val="00B175CC"/>
    <w:rsid w:val="00B176C2"/>
    <w:rsid w:val="00B17E71"/>
    <w:rsid w:val="00B17EC6"/>
    <w:rsid w:val="00B204FB"/>
    <w:rsid w:val="00B20535"/>
    <w:rsid w:val="00B20C2B"/>
    <w:rsid w:val="00B20D52"/>
    <w:rsid w:val="00B20D8B"/>
    <w:rsid w:val="00B2162F"/>
    <w:rsid w:val="00B21777"/>
    <w:rsid w:val="00B218EE"/>
    <w:rsid w:val="00B21C35"/>
    <w:rsid w:val="00B22ACD"/>
    <w:rsid w:val="00B23104"/>
    <w:rsid w:val="00B23177"/>
    <w:rsid w:val="00B238A4"/>
    <w:rsid w:val="00B238E9"/>
    <w:rsid w:val="00B23B82"/>
    <w:rsid w:val="00B23C2E"/>
    <w:rsid w:val="00B23E7F"/>
    <w:rsid w:val="00B245E2"/>
    <w:rsid w:val="00B24608"/>
    <w:rsid w:val="00B24BC1"/>
    <w:rsid w:val="00B24D01"/>
    <w:rsid w:val="00B2507C"/>
    <w:rsid w:val="00B264A6"/>
    <w:rsid w:val="00B2758E"/>
    <w:rsid w:val="00B27782"/>
    <w:rsid w:val="00B27C75"/>
    <w:rsid w:val="00B27CEE"/>
    <w:rsid w:val="00B306CF"/>
    <w:rsid w:val="00B30B67"/>
    <w:rsid w:val="00B30DAC"/>
    <w:rsid w:val="00B30EBB"/>
    <w:rsid w:val="00B310DB"/>
    <w:rsid w:val="00B327B4"/>
    <w:rsid w:val="00B3349C"/>
    <w:rsid w:val="00B3368B"/>
    <w:rsid w:val="00B34021"/>
    <w:rsid w:val="00B34177"/>
    <w:rsid w:val="00B341B5"/>
    <w:rsid w:val="00B3465C"/>
    <w:rsid w:val="00B34AEA"/>
    <w:rsid w:val="00B34C16"/>
    <w:rsid w:val="00B353D0"/>
    <w:rsid w:val="00B36235"/>
    <w:rsid w:val="00B364AC"/>
    <w:rsid w:val="00B3660A"/>
    <w:rsid w:val="00B36694"/>
    <w:rsid w:val="00B36E5B"/>
    <w:rsid w:val="00B36E65"/>
    <w:rsid w:val="00B372BE"/>
    <w:rsid w:val="00B40BA1"/>
    <w:rsid w:val="00B40C22"/>
    <w:rsid w:val="00B40F9C"/>
    <w:rsid w:val="00B412AE"/>
    <w:rsid w:val="00B413E4"/>
    <w:rsid w:val="00B41CBA"/>
    <w:rsid w:val="00B427A2"/>
    <w:rsid w:val="00B432AF"/>
    <w:rsid w:val="00B43A75"/>
    <w:rsid w:val="00B441C1"/>
    <w:rsid w:val="00B441D6"/>
    <w:rsid w:val="00B44291"/>
    <w:rsid w:val="00B4451D"/>
    <w:rsid w:val="00B4490B"/>
    <w:rsid w:val="00B44DF9"/>
    <w:rsid w:val="00B45C6A"/>
    <w:rsid w:val="00B46544"/>
    <w:rsid w:val="00B4727A"/>
    <w:rsid w:val="00B47DA3"/>
    <w:rsid w:val="00B500A3"/>
    <w:rsid w:val="00B508DA"/>
    <w:rsid w:val="00B50A9D"/>
    <w:rsid w:val="00B50F6A"/>
    <w:rsid w:val="00B5207C"/>
    <w:rsid w:val="00B521C3"/>
    <w:rsid w:val="00B52899"/>
    <w:rsid w:val="00B52921"/>
    <w:rsid w:val="00B533A5"/>
    <w:rsid w:val="00B53CE5"/>
    <w:rsid w:val="00B54059"/>
    <w:rsid w:val="00B545C2"/>
    <w:rsid w:val="00B54683"/>
    <w:rsid w:val="00B54913"/>
    <w:rsid w:val="00B55891"/>
    <w:rsid w:val="00B55E68"/>
    <w:rsid w:val="00B5633F"/>
    <w:rsid w:val="00B56713"/>
    <w:rsid w:val="00B60B12"/>
    <w:rsid w:val="00B61424"/>
    <w:rsid w:val="00B6158C"/>
    <w:rsid w:val="00B616D3"/>
    <w:rsid w:val="00B618DA"/>
    <w:rsid w:val="00B61A45"/>
    <w:rsid w:val="00B61D02"/>
    <w:rsid w:val="00B62816"/>
    <w:rsid w:val="00B62BB4"/>
    <w:rsid w:val="00B63374"/>
    <w:rsid w:val="00B63DE6"/>
    <w:rsid w:val="00B6463C"/>
    <w:rsid w:val="00B648CA"/>
    <w:rsid w:val="00B64BA4"/>
    <w:rsid w:val="00B6568C"/>
    <w:rsid w:val="00B65CB6"/>
    <w:rsid w:val="00B65F3B"/>
    <w:rsid w:val="00B65FE5"/>
    <w:rsid w:val="00B6641B"/>
    <w:rsid w:val="00B66940"/>
    <w:rsid w:val="00B66C5F"/>
    <w:rsid w:val="00B66DA4"/>
    <w:rsid w:val="00B66FD5"/>
    <w:rsid w:val="00B671E7"/>
    <w:rsid w:val="00B674CD"/>
    <w:rsid w:val="00B67D9A"/>
    <w:rsid w:val="00B7012E"/>
    <w:rsid w:val="00B70380"/>
    <w:rsid w:val="00B709AC"/>
    <w:rsid w:val="00B70A79"/>
    <w:rsid w:val="00B7156E"/>
    <w:rsid w:val="00B7188B"/>
    <w:rsid w:val="00B71EB5"/>
    <w:rsid w:val="00B71FB0"/>
    <w:rsid w:val="00B72127"/>
    <w:rsid w:val="00B72412"/>
    <w:rsid w:val="00B7372C"/>
    <w:rsid w:val="00B737AF"/>
    <w:rsid w:val="00B737F9"/>
    <w:rsid w:val="00B73805"/>
    <w:rsid w:val="00B7384B"/>
    <w:rsid w:val="00B73AB6"/>
    <w:rsid w:val="00B73ABE"/>
    <w:rsid w:val="00B73B99"/>
    <w:rsid w:val="00B74457"/>
    <w:rsid w:val="00B7450A"/>
    <w:rsid w:val="00B74DCA"/>
    <w:rsid w:val="00B75008"/>
    <w:rsid w:val="00B75788"/>
    <w:rsid w:val="00B75831"/>
    <w:rsid w:val="00B7591B"/>
    <w:rsid w:val="00B75BAC"/>
    <w:rsid w:val="00B75C4B"/>
    <w:rsid w:val="00B75D92"/>
    <w:rsid w:val="00B75F26"/>
    <w:rsid w:val="00B768DD"/>
    <w:rsid w:val="00B76A8E"/>
    <w:rsid w:val="00B76BC1"/>
    <w:rsid w:val="00B7704A"/>
    <w:rsid w:val="00B77364"/>
    <w:rsid w:val="00B77656"/>
    <w:rsid w:val="00B801FE"/>
    <w:rsid w:val="00B804BA"/>
    <w:rsid w:val="00B808BC"/>
    <w:rsid w:val="00B81222"/>
    <w:rsid w:val="00B81BE0"/>
    <w:rsid w:val="00B826BC"/>
    <w:rsid w:val="00B836DB"/>
    <w:rsid w:val="00B83B58"/>
    <w:rsid w:val="00B8470A"/>
    <w:rsid w:val="00B84D90"/>
    <w:rsid w:val="00B84EAD"/>
    <w:rsid w:val="00B85680"/>
    <w:rsid w:val="00B85990"/>
    <w:rsid w:val="00B86B2E"/>
    <w:rsid w:val="00B87C3D"/>
    <w:rsid w:val="00B9007D"/>
    <w:rsid w:val="00B903DF"/>
    <w:rsid w:val="00B90460"/>
    <w:rsid w:val="00B90855"/>
    <w:rsid w:val="00B9086E"/>
    <w:rsid w:val="00B90CD8"/>
    <w:rsid w:val="00B9206A"/>
    <w:rsid w:val="00B9236B"/>
    <w:rsid w:val="00B9278B"/>
    <w:rsid w:val="00B92A23"/>
    <w:rsid w:val="00B92C17"/>
    <w:rsid w:val="00B93A05"/>
    <w:rsid w:val="00B93DA0"/>
    <w:rsid w:val="00B94614"/>
    <w:rsid w:val="00B94B57"/>
    <w:rsid w:val="00B95812"/>
    <w:rsid w:val="00B95946"/>
    <w:rsid w:val="00B959E7"/>
    <w:rsid w:val="00B96087"/>
    <w:rsid w:val="00B965A8"/>
    <w:rsid w:val="00B96C8C"/>
    <w:rsid w:val="00B970E8"/>
    <w:rsid w:val="00B97963"/>
    <w:rsid w:val="00B979BC"/>
    <w:rsid w:val="00BA0668"/>
    <w:rsid w:val="00BA09D3"/>
    <w:rsid w:val="00BA15AC"/>
    <w:rsid w:val="00BA17A3"/>
    <w:rsid w:val="00BA2197"/>
    <w:rsid w:val="00BA2ED2"/>
    <w:rsid w:val="00BA33CD"/>
    <w:rsid w:val="00BA350B"/>
    <w:rsid w:val="00BA3657"/>
    <w:rsid w:val="00BA3D83"/>
    <w:rsid w:val="00BA44D7"/>
    <w:rsid w:val="00BA4651"/>
    <w:rsid w:val="00BA4F0F"/>
    <w:rsid w:val="00BA516E"/>
    <w:rsid w:val="00BA5571"/>
    <w:rsid w:val="00BA5C49"/>
    <w:rsid w:val="00BA6B02"/>
    <w:rsid w:val="00BA701A"/>
    <w:rsid w:val="00BA70C7"/>
    <w:rsid w:val="00BA7274"/>
    <w:rsid w:val="00BA7919"/>
    <w:rsid w:val="00BA7C8D"/>
    <w:rsid w:val="00BB1179"/>
    <w:rsid w:val="00BB175D"/>
    <w:rsid w:val="00BB288E"/>
    <w:rsid w:val="00BB2F20"/>
    <w:rsid w:val="00BB32D8"/>
    <w:rsid w:val="00BB3507"/>
    <w:rsid w:val="00BB3C35"/>
    <w:rsid w:val="00BB4327"/>
    <w:rsid w:val="00BB45FA"/>
    <w:rsid w:val="00BB4971"/>
    <w:rsid w:val="00BB4C3C"/>
    <w:rsid w:val="00BB4F86"/>
    <w:rsid w:val="00BB574A"/>
    <w:rsid w:val="00BB63CB"/>
    <w:rsid w:val="00BB7349"/>
    <w:rsid w:val="00BB7496"/>
    <w:rsid w:val="00BB7664"/>
    <w:rsid w:val="00BB7AFC"/>
    <w:rsid w:val="00BB7B41"/>
    <w:rsid w:val="00BC0289"/>
    <w:rsid w:val="00BC02B8"/>
    <w:rsid w:val="00BC0333"/>
    <w:rsid w:val="00BC05D0"/>
    <w:rsid w:val="00BC078D"/>
    <w:rsid w:val="00BC09EA"/>
    <w:rsid w:val="00BC1153"/>
    <w:rsid w:val="00BC1A5C"/>
    <w:rsid w:val="00BC1B18"/>
    <w:rsid w:val="00BC2461"/>
    <w:rsid w:val="00BC2FB8"/>
    <w:rsid w:val="00BC350B"/>
    <w:rsid w:val="00BC3AA6"/>
    <w:rsid w:val="00BC4262"/>
    <w:rsid w:val="00BC570A"/>
    <w:rsid w:val="00BC5C4E"/>
    <w:rsid w:val="00BC62FF"/>
    <w:rsid w:val="00BC63C3"/>
    <w:rsid w:val="00BC6565"/>
    <w:rsid w:val="00BC7B2E"/>
    <w:rsid w:val="00BC7BD0"/>
    <w:rsid w:val="00BC7C42"/>
    <w:rsid w:val="00BD0146"/>
    <w:rsid w:val="00BD0AEE"/>
    <w:rsid w:val="00BD16E8"/>
    <w:rsid w:val="00BD1817"/>
    <w:rsid w:val="00BD1968"/>
    <w:rsid w:val="00BD1BE9"/>
    <w:rsid w:val="00BD1F50"/>
    <w:rsid w:val="00BD229E"/>
    <w:rsid w:val="00BD311A"/>
    <w:rsid w:val="00BD3724"/>
    <w:rsid w:val="00BD47D6"/>
    <w:rsid w:val="00BD4810"/>
    <w:rsid w:val="00BD4B91"/>
    <w:rsid w:val="00BD4C1C"/>
    <w:rsid w:val="00BD4E4C"/>
    <w:rsid w:val="00BD569B"/>
    <w:rsid w:val="00BD6787"/>
    <w:rsid w:val="00BD67A6"/>
    <w:rsid w:val="00BD716F"/>
    <w:rsid w:val="00BD7287"/>
    <w:rsid w:val="00BD7510"/>
    <w:rsid w:val="00BD77D8"/>
    <w:rsid w:val="00BD7A33"/>
    <w:rsid w:val="00BE0188"/>
    <w:rsid w:val="00BE0870"/>
    <w:rsid w:val="00BE1649"/>
    <w:rsid w:val="00BE21CB"/>
    <w:rsid w:val="00BE2B1E"/>
    <w:rsid w:val="00BE2E2B"/>
    <w:rsid w:val="00BE3078"/>
    <w:rsid w:val="00BE4C85"/>
    <w:rsid w:val="00BE544E"/>
    <w:rsid w:val="00BE5FCF"/>
    <w:rsid w:val="00BE61E7"/>
    <w:rsid w:val="00BE71F1"/>
    <w:rsid w:val="00BE74D0"/>
    <w:rsid w:val="00BE761F"/>
    <w:rsid w:val="00BE780E"/>
    <w:rsid w:val="00BF012E"/>
    <w:rsid w:val="00BF076B"/>
    <w:rsid w:val="00BF07B3"/>
    <w:rsid w:val="00BF0C4B"/>
    <w:rsid w:val="00BF1132"/>
    <w:rsid w:val="00BF16E0"/>
    <w:rsid w:val="00BF1E9A"/>
    <w:rsid w:val="00BF1EA6"/>
    <w:rsid w:val="00BF3068"/>
    <w:rsid w:val="00BF3491"/>
    <w:rsid w:val="00BF376C"/>
    <w:rsid w:val="00BF3AB0"/>
    <w:rsid w:val="00BF3AF5"/>
    <w:rsid w:val="00BF5329"/>
    <w:rsid w:val="00BF54C4"/>
    <w:rsid w:val="00BF5D85"/>
    <w:rsid w:val="00BF65DB"/>
    <w:rsid w:val="00BF7582"/>
    <w:rsid w:val="00BF7E41"/>
    <w:rsid w:val="00C010AF"/>
    <w:rsid w:val="00C0161E"/>
    <w:rsid w:val="00C018F7"/>
    <w:rsid w:val="00C01B28"/>
    <w:rsid w:val="00C01B6A"/>
    <w:rsid w:val="00C01C97"/>
    <w:rsid w:val="00C02028"/>
    <w:rsid w:val="00C025F5"/>
    <w:rsid w:val="00C032EB"/>
    <w:rsid w:val="00C033A9"/>
    <w:rsid w:val="00C0393D"/>
    <w:rsid w:val="00C049C6"/>
    <w:rsid w:val="00C04EB2"/>
    <w:rsid w:val="00C0541C"/>
    <w:rsid w:val="00C05CBB"/>
    <w:rsid w:val="00C05DE4"/>
    <w:rsid w:val="00C066C7"/>
    <w:rsid w:val="00C06D60"/>
    <w:rsid w:val="00C06F7F"/>
    <w:rsid w:val="00C1029F"/>
    <w:rsid w:val="00C10526"/>
    <w:rsid w:val="00C109AE"/>
    <w:rsid w:val="00C109B4"/>
    <w:rsid w:val="00C10F3A"/>
    <w:rsid w:val="00C111E8"/>
    <w:rsid w:val="00C1309C"/>
    <w:rsid w:val="00C13AF0"/>
    <w:rsid w:val="00C13F8D"/>
    <w:rsid w:val="00C14251"/>
    <w:rsid w:val="00C14C33"/>
    <w:rsid w:val="00C1541C"/>
    <w:rsid w:val="00C1544A"/>
    <w:rsid w:val="00C15458"/>
    <w:rsid w:val="00C15C56"/>
    <w:rsid w:val="00C15C73"/>
    <w:rsid w:val="00C160CD"/>
    <w:rsid w:val="00C164A2"/>
    <w:rsid w:val="00C16A6C"/>
    <w:rsid w:val="00C16A9D"/>
    <w:rsid w:val="00C17B61"/>
    <w:rsid w:val="00C20189"/>
    <w:rsid w:val="00C204C4"/>
    <w:rsid w:val="00C214ED"/>
    <w:rsid w:val="00C224A3"/>
    <w:rsid w:val="00C2294E"/>
    <w:rsid w:val="00C22B92"/>
    <w:rsid w:val="00C22E32"/>
    <w:rsid w:val="00C22E6B"/>
    <w:rsid w:val="00C22E81"/>
    <w:rsid w:val="00C231A7"/>
    <w:rsid w:val="00C23343"/>
    <w:rsid w:val="00C23924"/>
    <w:rsid w:val="00C23B3B"/>
    <w:rsid w:val="00C23BE3"/>
    <w:rsid w:val="00C23BFF"/>
    <w:rsid w:val="00C241E4"/>
    <w:rsid w:val="00C24AA2"/>
    <w:rsid w:val="00C24CD9"/>
    <w:rsid w:val="00C24D6F"/>
    <w:rsid w:val="00C24FBD"/>
    <w:rsid w:val="00C24FC3"/>
    <w:rsid w:val="00C25238"/>
    <w:rsid w:val="00C25591"/>
    <w:rsid w:val="00C25BFA"/>
    <w:rsid w:val="00C2609C"/>
    <w:rsid w:val="00C26D58"/>
    <w:rsid w:val="00C2719D"/>
    <w:rsid w:val="00C275A1"/>
    <w:rsid w:val="00C2796D"/>
    <w:rsid w:val="00C300B3"/>
    <w:rsid w:val="00C3073C"/>
    <w:rsid w:val="00C30B23"/>
    <w:rsid w:val="00C3115A"/>
    <w:rsid w:val="00C31B8E"/>
    <w:rsid w:val="00C32678"/>
    <w:rsid w:val="00C32C2C"/>
    <w:rsid w:val="00C32E47"/>
    <w:rsid w:val="00C33974"/>
    <w:rsid w:val="00C347C0"/>
    <w:rsid w:val="00C34FAA"/>
    <w:rsid w:val="00C358AF"/>
    <w:rsid w:val="00C36330"/>
    <w:rsid w:val="00C36396"/>
    <w:rsid w:val="00C36662"/>
    <w:rsid w:val="00C367F1"/>
    <w:rsid w:val="00C36899"/>
    <w:rsid w:val="00C36AFC"/>
    <w:rsid w:val="00C37045"/>
    <w:rsid w:val="00C373A7"/>
    <w:rsid w:val="00C3781E"/>
    <w:rsid w:val="00C37C49"/>
    <w:rsid w:val="00C4002E"/>
    <w:rsid w:val="00C40215"/>
    <w:rsid w:val="00C40363"/>
    <w:rsid w:val="00C406B2"/>
    <w:rsid w:val="00C40781"/>
    <w:rsid w:val="00C408A2"/>
    <w:rsid w:val="00C40B79"/>
    <w:rsid w:val="00C40D50"/>
    <w:rsid w:val="00C4202E"/>
    <w:rsid w:val="00C424C8"/>
    <w:rsid w:val="00C42DE7"/>
    <w:rsid w:val="00C43907"/>
    <w:rsid w:val="00C4396F"/>
    <w:rsid w:val="00C43A69"/>
    <w:rsid w:val="00C43CB6"/>
    <w:rsid w:val="00C4431F"/>
    <w:rsid w:val="00C4482F"/>
    <w:rsid w:val="00C45190"/>
    <w:rsid w:val="00C45847"/>
    <w:rsid w:val="00C4592C"/>
    <w:rsid w:val="00C45C87"/>
    <w:rsid w:val="00C4600E"/>
    <w:rsid w:val="00C46058"/>
    <w:rsid w:val="00C464BC"/>
    <w:rsid w:val="00C46766"/>
    <w:rsid w:val="00C46BC2"/>
    <w:rsid w:val="00C47083"/>
    <w:rsid w:val="00C473A2"/>
    <w:rsid w:val="00C474FC"/>
    <w:rsid w:val="00C47CBC"/>
    <w:rsid w:val="00C505B4"/>
    <w:rsid w:val="00C507EE"/>
    <w:rsid w:val="00C50B24"/>
    <w:rsid w:val="00C510A9"/>
    <w:rsid w:val="00C510CD"/>
    <w:rsid w:val="00C5128E"/>
    <w:rsid w:val="00C5163C"/>
    <w:rsid w:val="00C5164A"/>
    <w:rsid w:val="00C5237D"/>
    <w:rsid w:val="00C52758"/>
    <w:rsid w:val="00C5314B"/>
    <w:rsid w:val="00C53180"/>
    <w:rsid w:val="00C5362B"/>
    <w:rsid w:val="00C53C51"/>
    <w:rsid w:val="00C53C6F"/>
    <w:rsid w:val="00C54ACA"/>
    <w:rsid w:val="00C5528E"/>
    <w:rsid w:val="00C554CF"/>
    <w:rsid w:val="00C5606F"/>
    <w:rsid w:val="00C563F6"/>
    <w:rsid w:val="00C5672E"/>
    <w:rsid w:val="00C56CAB"/>
    <w:rsid w:val="00C57ED6"/>
    <w:rsid w:val="00C602A5"/>
    <w:rsid w:val="00C60B67"/>
    <w:rsid w:val="00C61770"/>
    <w:rsid w:val="00C617DE"/>
    <w:rsid w:val="00C61B84"/>
    <w:rsid w:val="00C61E48"/>
    <w:rsid w:val="00C62222"/>
    <w:rsid w:val="00C6254B"/>
    <w:rsid w:val="00C625FC"/>
    <w:rsid w:val="00C62B06"/>
    <w:rsid w:val="00C62C99"/>
    <w:rsid w:val="00C6338B"/>
    <w:rsid w:val="00C634C6"/>
    <w:rsid w:val="00C63F45"/>
    <w:rsid w:val="00C64DB4"/>
    <w:rsid w:val="00C651BE"/>
    <w:rsid w:val="00C65694"/>
    <w:rsid w:val="00C659A5"/>
    <w:rsid w:val="00C65DDB"/>
    <w:rsid w:val="00C65E9A"/>
    <w:rsid w:val="00C6631F"/>
    <w:rsid w:val="00C66F10"/>
    <w:rsid w:val="00C673F2"/>
    <w:rsid w:val="00C6744B"/>
    <w:rsid w:val="00C674FB"/>
    <w:rsid w:val="00C67A74"/>
    <w:rsid w:val="00C67AD0"/>
    <w:rsid w:val="00C67C14"/>
    <w:rsid w:val="00C7085D"/>
    <w:rsid w:val="00C709A8"/>
    <w:rsid w:val="00C709DA"/>
    <w:rsid w:val="00C70DEA"/>
    <w:rsid w:val="00C723B0"/>
    <w:rsid w:val="00C72D4D"/>
    <w:rsid w:val="00C742BD"/>
    <w:rsid w:val="00C742F5"/>
    <w:rsid w:val="00C74620"/>
    <w:rsid w:val="00C74933"/>
    <w:rsid w:val="00C74AD0"/>
    <w:rsid w:val="00C75203"/>
    <w:rsid w:val="00C75318"/>
    <w:rsid w:val="00C75CAA"/>
    <w:rsid w:val="00C76095"/>
    <w:rsid w:val="00C76C44"/>
    <w:rsid w:val="00C76E6F"/>
    <w:rsid w:val="00C76E7A"/>
    <w:rsid w:val="00C77273"/>
    <w:rsid w:val="00C775B6"/>
    <w:rsid w:val="00C77B2E"/>
    <w:rsid w:val="00C7A00E"/>
    <w:rsid w:val="00C80141"/>
    <w:rsid w:val="00C80378"/>
    <w:rsid w:val="00C80756"/>
    <w:rsid w:val="00C807BD"/>
    <w:rsid w:val="00C80BCD"/>
    <w:rsid w:val="00C80EA2"/>
    <w:rsid w:val="00C8118B"/>
    <w:rsid w:val="00C8269B"/>
    <w:rsid w:val="00C82798"/>
    <w:rsid w:val="00C827B9"/>
    <w:rsid w:val="00C8298E"/>
    <w:rsid w:val="00C83161"/>
    <w:rsid w:val="00C835C4"/>
    <w:rsid w:val="00C8362E"/>
    <w:rsid w:val="00C8376A"/>
    <w:rsid w:val="00C83DE7"/>
    <w:rsid w:val="00C846B6"/>
    <w:rsid w:val="00C847D4"/>
    <w:rsid w:val="00C84997"/>
    <w:rsid w:val="00C849D0"/>
    <w:rsid w:val="00C8525E"/>
    <w:rsid w:val="00C85262"/>
    <w:rsid w:val="00C852AB"/>
    <w:rsid w:val="00C852FB"/>
    <w:rsid w:val="00C86781"/>
    <w:rsid w:val="00C86990"/>
    <w:rsid w:val="00C9028C"/>
    <w:rsid w:val="00C9045F"/>
    <w:rsid w:val="00C90559"/>
    <w:rsid w:val="00C90640"/>
    <w:rsid w:val="00C90C9F"/>
    <w:rsid w:val="00C90D71"/>
    <w:rsid w:val="00C910B0"/>
    <w:rsid w:val="00C91E16"/>
    <w:rsid w:val="00C925F3"/>
    <w:rsid w:val="00C931D5"/>
    <w:rsid w:val="00C9325D"/>
    <w:rsid w:val="00C93B2F"/>
    <w:rsid w:val="00C94666"/>
    <w:rsid w:val="00C9492D"/>
    <w:rsid w:val="00C95156"/>
    <w:rsid w:val="00C953A9"/>
    <w:rsid w:val="00C95528"/>
    <w:rsid w:val="00C95618"/>
    <w:rsid w:val="00C960B2"/>
    <w:rsid w:val="00C96694"/>
    <w:rsid w:val="00C96843"/>
    <w:rsid w:val="00C96DEB"/>
    <w:rsid w:val="00C970E6"/>
    <w:rsid w:val="00C97125"/>
    <w:rsid w:val="00C979A9"/>
    <w:rsid w:val="00CA01B6"/>
    <w:rsid w:val="00CA03FA"/>
    <w:rsid w:val="00CA04D8"/>
    <w:rsid w:val="00CA061C"/>
    <w:rsid w:val="00CA0653"/>
    <w:rsid w:val="00CA0660"/>
    <w:rsid w:val="00CA09C2"/>
    <w:rsid w:val="00CA0D64"/>
    <w:rsid w:val="00CA23AE"/>
    <w:rsid w:val="00CA2B93"/>
    <w:rsid w:val="00CA35E7"/>
    <w:rsid w:val="00CA371E"/>
    <w:rsid w:val="00CA4055"/>
    <w:rsid w:val="00CA419D"/>
    <w:rsid w:val="00CA495F"/>
    <w:rsid w:val="00CA5375"/>
    <w:rsid w:val="00CA59DF"/>
    <w:rsid w:val="00CA5C3D"/>
    <w:rsid w:val="00CA6186"/>
    <w:rsid w:val="00CA65ED"/>
    <w:rsid w:val="00CA6BD9"/>
    <w:rsid w:val="00CA6E12"/>
    <w:rsid w:val="00CA6E1C"/>
    <w:rsid w:val="00CA719D"/>
    <w:rsid w:val="00CA71F1"/>
    <w:rsid w:val="00CA72C8"/>
    <w:rsid w:val="00CA76B1"/>
    <w:rsid w:val="00CA7FA1"/>
    <w:rsid w:val="00CB07B4"/>
    <w:rsid w:val="00CB0FF9"/>
    <w:rsid w:val="00CB163E"/>
    <w:rsid w:val="00CB16BA"/>
    <w:rsid w:val="00CB19F6"/>
    <w:rsid w:val="00CB2C45"/>
    <w:rsid w:val="00CB398B"/>
    <w:rsid w:val="00CB3E74"/>
    <w:rsid w:val="00CB3F23"/>
    <w:rsid w:val="00CB46A4"/>
    <w:rsid w:val="00CB4B3C"/>
    <w:rsid w:val="00CB4B97"/>
    <w:rsid w:val="00CB4CAB"/>
    <w:rsid w:val="00CB61DD"/>
    <w:rsid w:val="00CB66B9"/>
    <w:rsid w:val="00CB7019"/>
    <w:rsid w:val="00CB7557"/>
    <w:rsid w:val="00CB784F"/>
    <w:rsid w:val="00CC03F8"/>
    <w:rsid w:val="00CC08A7"/>
    <w:rsid w:val="00CC0A56"/>
    <w:rsid w:val="00CC0C62"/>
    <w:rsid w:val="00CC30DF"/>
    <w:rsid w:val="00CC3B88"/>
    <w:rsid w:val="00CC3BD2"/>
    <w:rsid w:val="00CC3E74"/>
    <w:rsid w:val="00CC40B0"/>
    <w:rsid w:val="00CC5C59"/>
    <w:rsid w:val="00CC639D"/>
    <w:rsid w:val="00CC727A"/>
    <w:rsid w:val="00CC736A"/>
    <w:rsid w:val="00CC7397"/>
    <w:rsid w:val="00CC7746"/>
    <w:rsid w:val="00CC7A0D"/>
    <w:rsid w:val="00CC7C6C"/>
    <w:rsid w:val="00CC7D4C"/>
    <w:rsid w:val="00CC7D87"/>
    <w:rsid w:val="00CC7EE9"/>
    <w:rsid w:val="00CD02CC"/>
    <w:rsid w:val="00CD0332"/>
    <w:rsid w:val="00CD0E6C"/>
    <w:rsid w:val="00CD0F1E"/>
    <w:rsid w:val="00CD14D6"/>
    <w:rsid w:val="00CD16B9"/>
    <w:rsid w:val="00CD1D94"/>
    <w:rsid w:val="00CD2094"/>
    <w:rsid w:val="00CD21B9"/>
    <w:rsid w:val="00CD27C4"/>
    <w:rsid w:val="00CD3E9E"/>
    <w:rsid w:val="00CD49BF"/>
    <w:rsid w:val="00CD53CB"/>
    <w:rsid w:val="00CD5512"/>
    <w:rsid w:val="00CD5914"/>
    <w:rsid w:val="00CD5C66"/>
    <w:rsid w:val="00CD70F1"/>
    <w:rsid w:val="00CD77CA"/>
    <w:rsid w:val="00CD7870"/>
    <w:rsid w:val="00CD7E55"/>
    <w:rsid w:val="00CE003F"/>
    <w:rsid w:val="00CE054C"/>
    <w:rsid w:val="00CE0625"/>
    <w:rsid w:val="00CE06B3"/>
    <w:rsid w:val="00CE0F7A"/>
    <w:rsid w:val="00CE106F"/>
    <w:rsid w:val="00CE10C0"/>
    <w:rsid w:val="00CE11B3"/>
    <w:rsid w:val="00CE183B"/>
    <w:rsid w:val="00CE1DBE"/>
    <w:rsid w:val="00CE1FD4"/>
    <w:rsid w:val="00CE21FF"/>
    <w:rsid w:val="00CE34FC"/>
    <w:rsid w:val="00CE3DA0"/>
    <w:rsid w:val="00CE4296"/>
    <w:rsid w:val="00CE4CA4"/>
    <w:rsid w:val="00CE5961"/>
    <w:rsid w:val="00CE5C97"/>
    <w:rsid w:val="00CE660A"/>
    <w:rsid w:val="00CE676A"/>
    <w:rsid w:val="00CE67F2"/>
    <w:rsid w:val="00CE6985"/>
    <w:rsid w:val="00CE6A6E"/>
    <w:rsid w:val="00CE704B"/>
    <w:rsid w:val="00CE74DA"/>
    <w:rsid w:val="00CF1749"/>
    <w:rsid w:val="00CF2058"/>
    <w:rsid w:val="00CF2107"/>
    <w:rsid w:val="00CF2D1E"/>
    <w:rsid w:val="00CF3391"/>
    <w:rsid w:val="00CF3828"/>
    <w:rsid w:val="00CF3A20"/>
    <w:rsid w:val="00CF40F1"/>
    <w:rsid w:val="00CF4232"/>
    <w:rsid w:val="00CF45D4"/>
    <w:rsid w:val="00CF4BF0"/>
    <w:rsid w:val="00CF6076"/>
    <w:rsid w:val="00CF681F"/>
    <w:rsid w:val="00CF6E9A"/>
    <w:rsid w:val="00CF7807"/>
    <w:rsid w:val="00CF787C"/>
    <w:rsid w:val="00CF7B75"/>
    <w:rsid w:val="00D000F9"/>
    <w:rsid w:val="00D00312"/>
    <w:rsid w:val="00D00A16"/>
    <w:rsid w:val="00D01169"/>
    <w:rsid w:val="00D019C2"/>
    <w:rsid w:val="00D02560"/>
    <w:rsid w:val="00D028B4"/>
    <w:rsid w:val="00D02D82"/>
    <w:rsid w:val="00D02EFF"/>
    <w:rsid w:val="00D0313C"/>
    <w:rsid w:val="00D031BA"/>
    <w:rsid w:val="00D03A68"/>
    <w:rsid w:val="00D03B50"/>
    <w:rsid w:val="00D03F86"/>
    <w:rsid w:val="00D042F3"/>
    <w:rsid w:val="00D046B7"/>
    <w:rsid w:val="00D0496D"/>
    <w:rsid w:val="00D06695"/>
    <w:rsid w:val="00D06FB5"/>
    <w:rsid w:val="00D0754E"/>
    <w:rsid w:val="00D10649"/>
    <w:rsid w:val="00D10AEE"/>
    <w:rsid w:val="00D10BF7"/>
    <w:rsid w:val="00D1108F"/>
    <w:rsid w:val="00D112BB"/>
    <w:rsid w:val="00D119E6"/>
    <w:rsid w:val="00D11A0F"/>
    <w:rsid w:val="00D1290D"/>
    <w:rsid w:val="00D12C95"/>
    <w:rsid w:val="00D1362D"/>
    <w:rsid w:val="00D136DC"/>
    <w:rsid w:val="00D143F6"/>
    <w:rsid w:val="00D147BD"/>
    <w:rsid w:val="00D152D3"/>
    <w:rsid w:val="00D156F7"/>
    <w:rsid w:val="00D16051"/>
    <w:rsid w:val="00D163B8"/>
    <w:rsid w:val="00D1702B"/>
    <w:rsid w:val="00D1738C"/>
    <w:rsid w:val="00D175C2"/>
    <w:rsid w:val="00D208BD"/>
    <w:rsid w:val="00D20A37"/>
    <w:rsid w:val="00D2144B"/>
    <w:rsid w:val="00D21C82"/>
    <w:rsid w:val="00D21DDA"/>
    <w:rsid w:val="00D22189"/>
    <w:rsid w:val="00D2229D"/>
    <w:rsid w:val="00D222AD"/>
    <w:rsid w:val="00D22C9A"/>
    <w:rsid w:val="00D22F25"/>
    <w:rsid w:val="00D231A5"/>
    <w:rsid w:val="00D2363C"/>
    <w:rsid w:val="00D242DF"/>
    <w:rsid w:val="00D24814"/>
    <w:rsid w:val="00D24EC9"/>
    <w:rsid w:val="00D25C8E"/>
    <w:rsid w:val="00D263D9"/>
    <w:rsid w:val="00D26814"/>
    <w:rsid w:val="00D268BB"/>
    <w:rsid w:val="00D268F1"/>
    <w:rsid w:val="00D26C55"/>
    <w:rsid w:val="00D270D4"/>
    <w:rsid w:val="00D27AE2"/>
    <w:rsid w:val="00D27BD4"/>
    <w:rsid w:val="00D27BFE"/>
    <w:rsid w:val="00D300E1"/>
    <w:rsid w:val="00D30183"/>
    <w:rsid w:val="00D306D3"/>
    <w:rsid w:val="00D30782"/>
    <w:rsid w:val="00D31476"/>
    <w:rsid w:val="00D31479"/>
    <w:rsid w:val="00D31BFB"/>
    <w:rsid w:val="00D32311"/>
    <w:rsid w:val="00D325CD"/>
    <w:rsid w:val="00D32CAF"/>
    <w:rsid w:val="00D32E46"/>
    <w:rsid w:val="00D331AE"/>
    <w:rsid w:val="00D335AE"/>
    <w:rsid w:val="00D33602"/>
    <w:rsid w:val="00D33A46"/>
    <w:rsid w:val="00D347B5"/>
    <w:rsid w:val="00D34911"/>
    <w:rsid w:val="00D34BF3"/>
    <w:rsid w:val="00D34E8D"/>
    <w:rsid w:val="00D3615B"/>
    <w:rsid w:val="00D3648A"/>
    <w:rsid w:val="00D364D8"/>
    <w:rsid w:val="00D365D1"/>
    <w:rsid w:val="00D36803"/>
    <w:rsid w:val="00D369E3"/>
    <w:rsid w:val="00D36ACD"/>
    <w:rsid w:val="00D36AF1"/>
    <w:rsid w:val="00D36BF5"/>
    <w:rsid w:val="00D375A7"/>
    <w:rsid w:val="00D40316"/>
    <w:rsid w:val="00D40728"/>
    <w:rsid w:val="00D40E5D"/>
    <w:rsid w:val="00D410C9"/>
    <w:rsid w:val="00D41A64"/>
    <w:rsid w:val="00D41AAC"/>
    <w:rsid w:val="00D41B2A"/>
    <w:rsid w:val="00D41C10"/>
    <w:rsid w:val="00D41D91"/>
    <w:rsid w:val="00D4218A"/>
    <w:rsid w:val="00D422D4"/>
    <w:rsid w:val="00D4292B"/>
    <w:rsid w:val="00D4317D"/>
    <w:rsid w:val="00D431BE"/>
    <w:rsid w:val="00D4321B"/>
    <w:rsid w:val="00D433BB"/>
    <w:rsid w:val="00D43699"/>
    <w:rsid w:val="00D437BE"/>
    <w:rsid w:val="00D43817"/>
    <w:rsid w:val="00D4391F"/>
    <w:rsid w:val="00D43A8A"/>
    <w:rsid w:val="00D43E37"/>
    <w:rsid w:val="00D44F81"/>
    <w:rsid w:val="00D4592E"/>
    <w:rsid w:val="00D45B95"/>
    <w:rsid w:val="00D46270"/>
    <w:rsid w:val="00D46B17"/>
    <w:rsid w:val="00D47268"/>
    <w:rsid w:val="00D47DD0"/>
    <w:rsid w:val="00D504D8"/>
    <w:rsid w:val="00D51474"/>
    <w:rsid w:val="00D5274C"/>
    <w:rsid w:val="00D52A84"/>
    <w:rsid w:val="00D535BD"/>
    <w:rsid w:val="00D544D5"/>
    <w:rsid w:val="00D54503"/>
    <w:rsid w:val="00D54869"/>
    <w:rsid w:val="00D549C6"/>
    <w:rsid w:val="00D54E80"/>
    <w:rsid w:val="00D55435"/>
    <w:rsid w:val="00D556AA"/>
    <w:rsid w:val="00D561F1"/>
    <w:rsid w:val="00D56685"/>
    <w:rsid w:val="00D56B9E"/>
    <w:rsid w:val="00D56E02"/>
    <w:rsid w:val="00D5748B"/>
    <w:rsid w:val="00D57D51"/>
    <w:rsid w:val="00D60D7B"/>
    <w:rsid w:val="00D60E7F"/>
    <w:rsid w:val="00D60F0B"/>
    <w:rsid w:val="00D61BFC"/>
    <w:rsid w:val="00D62460"/>
    <w:rsid w:val="00D62BBF"/>
    <w:rsid w:val="00D62D26"/>
    <w:rsid w:val="00D62D35"/>
    <w:rsid w:val="00D62E61"/>
    <w:rsid w:val="00D63258"/>
    <w:rsid w:val="00D633BF"/>
    <w:rsid w:val="00D636CD"/>
    <w:rsid w:val="00D638AB"/>
    <w:rsid w:val="00D63F64"/>
    <w:rsid w:val="00D647A4"/>
    <w:rsid w:val="00D659C0"/>
    <w:rsid w:val="00D665B7"/>
    <w:rsid w:val="00D66AA4"/>
    <w:rsid w:val="00D7021C"/>
    <w:rsid w:val="00D70B69"/>
    <w:rsid w:val="00D70D94"/>
    <w:rsid w:val="00D710E9"/>
    <w:rsid w:val="00D7125E"/>
    <w:rsid w:val="00D713F7"/>
    <w:rsid w:val="00D721A8"/>
    <w:rsid w:val="00D72465"/>
    <w:rsid w:val="00D726BE"/>
    <w:rsid w:val="00D72AF3"/>
    <w:rsid w:val="00D72DDE"/>
    <w:rsid w:val="00D73534"/>
    <w:rsid w:val="00D73797"/>
    <w:rsid w:val="00D73CF2"/>
    <w:rsid w:val="00D73FB6"/>
    <w:rsid w:val="00D74222"/>
    <w:rsid w:val="00D74709"/>
    <w:rsid w:val="00D75BEB"/>
    <w:rsid w:val="00D76AF7"/>
    <w:rsid w:val="00D77FEF"/>
    <w:rsid w:val="00D80233"/>
    <w:rsid w:val="00D804EC"/>
    <w:rsid w:val="00D8062C"/>
    <w:rsid w:val="00D80739"/>
    <w:rsid w:val="00D808D5"/>
    <w:rsid w:val="00D81137"/>
    <w:rsid w:val="00D81394"/>
    <w:rsid w:val="00D813D3"/>
    <w:rsid w:val="00D819D8"/>
    <w:rsid w:val="00D823E8"/>
    <w:rsid w:val="00D8291F"/>
    <w:rsid w:val="00D82A53"/>
    <w:rsid w:val="00D82AF3"/>
    <w:rsid w:val="00D82DAD"/>
    <w:rsid w:val="00D82DAE"/>
    <w:rsid w:val="00D8338B"/>
    <w:rsid w:val="00D838D4"/>
    <w:rsid w:val="00D8425B"/>
    <w:rsid w:val="00D84274"/>
    <w:rsid w:val="00D849AB"/>
    <w:rsid w:val="00D84CEC"/>
    <w:rsid w:val="00D855B9"/>
    <w:rsid w:val="00D859C8"/>
    <w:rsid w:val="00D85A47"/>
    <w:rsid w:val="00D85A99"/>
    <w:rsid w:val="00D85BA2"/>
    <w:rsid w:val="00D86700"/>
    <w:rsid w:val="00D9079F"/>
    <w:rsid w:val="00D90E0D"/>
    <w:rsid w:val="00D91511"/>
    <w:rsid w:val="00D91B21"/>
    <w:rsid w:val="00D91DA3"/>
    <w:rsid w:val="00D9407B"/>
    <w:rsid w:val="00D95904"/>
    <w:rsid w:val="00D95F1A"/>
    <w:rsid w:val="00D962DF"/>
    <w:rsid w:val="00D96303"/>
    <w:rsid w:val="00D9755B"/>
    <w:rsid w:val="00DA0452"/>
    <w:rsid w:val="00DA04FD"/>
    <w:rsid w:val="00DA0732"/>
    <w:rsid w:val="00DA100C"/>
    <w:rsid w:val="00DA1033"/>
    <w:rsid w:val="00DA1C3E"/>
    <w:rsid w:val="00DA1EAD"/>
    <w:rsid w:val="00DA22E6"/>
    <w:rsid w:val="00DA22ED"/>
    <w:rsid w:val="00DA2E1E"/>
    <w:rsid w:val="00DA369C"/>
    <w:rsid w:val="00DA398E"/>
    <w:rsid w:val="00DA39C0"/>
    <w:rsid w:val="00DA3A4E"/>
    <w:rsid w:val="00DA4492"/>
    <w:rsid w:val="00DA4798"/>
    <w:rsid w:val="00DA48ED"/>
    <w:rsid w:val="00DA4AFC"/>
    <w:rsid w:val="00DA4DE8"/>
    <w:rsid w:val="00DA5428"/>
    <w:rsid w:val="00DA5F51"/>
    <w:rsid w:val="00DA6480"/>
    <w:rsid w:val="00DA664D"/>
    <w:rsid w:val="00DA66E6"/>
    <w:rsid w:val="00DA7B09"/>
    <w:rsid w:val="00DB011B"/>
    <w:rsid w:val="00DB058C"/>
    <w:rsid w:val="00DB0EF0"/>
    <w:rsid w:val="00DB0FC5"/>
    <w:rsid w:val="00DB1BB5"/>
    <w:rsid w:val="00DB204C"/>
    <w:rsid w:val="00DB20FA"/>
    <w:rsid w:val="00DB2AF3"/>
    <w:rsid w:val="00DB2B88"/>
    <w:rsid w:val="00DB2D5B"/>
    <w:rsid w:val="00DB3559"/>
    <w:rsid w:val="00DB36D8"/>
    <w:rsid w:val="00DB3782"/>
    <w:rsid w:val="00DB4D2A"/>
    <w:rsid w:val="00DB528B"/>
    <w:rsid w:val="00DB55D9"/>
    <w:rsid w:val="00DB586F"/>
    <w:rsid w:val="00DB5C45"/>
    <w:rsid w:val="00DB6C39"/>
    <w:rsid w:val="00DB6F28"/>
    <w:rsid w:val="00DB6F2A"/>
    <w:rsid w:val="00DB7332"/>
    <w:rsid w:val="00DC0676"/>
    <w:rsid w:val="00DC0A8C"/>
    <w:rsid w:val="00DC0FA1"/>
    <w:rsid w:val="00DC11DB"/>
    <w:rsid w:val="00DC12BE"/>
    <w:rsid w:val="00DC14F1"/>
    <w:rsid w:val="00DC1F7D"/>
    <w:rsid w:val="00DC2441"/>
    <w:rsid w:val="00DC24AD"/>
    <w:rsid w:val="00DC29A8"/>
    <w:rsid w:val="00DC34BB"/>
    <w:rsid w:val="00DC42C5"/>
    <w:rsid w:val="00DC5132"/>
    <w:rsid w:val="00DC5317"/>
    <w:rsid w:val="00DC72D7"/>
    <w:rsid w:val="00DC7433"/>
    <w:rsid w:val="00DC7525"/>
    <w:rsid w:val="00DC7962"/>
    <w:rsid w:val="00DC7BE3"/>
    <w:rsid w:val="00DC7FDC"/>
    <w:rsid w:val="00DD0C99"/>
    <w:rsid w:val="00DD1F05"/>
    <w:rsid w:val="00DD1F06"/>
    <w:rsid w:val="00DD2994"/>
    <w:rsid w:val="00DD2ADC"/>
    <w:rsid w:val="00DD2D65"/>
    <w:rsid w:val="00DD2E75"/>
    <w:rsid w:val="00DD3666"/>
    <w:rsid w:val="00DD378D"/>
    <w:rsid w:val="00DD3AF2"/>
    <w:rsid w:val="00DD4AEB"/>
    <w:rsid w:val="00DD4C70"/>
    <w:rsid w:val="00DD4F05"/>
    <w:rsid w:val="00DD55D9"/>
    <w:rsid w:val="00DD6853"/>
    <w:rsid w:val="00DD6AFA"/>
    <w:rsid w:val="00DD6E12"/>
    <w:rsid w:val="00DD6EBD"/>
    <w:rsid w:val="00DD75ED"/>
    <w:rsid w:val="00DD7666"/>
    <w:rsid w:val="00DD7C09"/>
    <w:rsid w:val="00DE00E5"/>
    <w:rsid w:val="00DE0E0B"/>
    <w:rsid w:val="00DE1841"/>
    <w:rsid w:val="00DE1853"/>
    <w:rsid w:val="00DE1BBE"/>
    <w:rsid w:val="00DE292D"/>
    <w:rsid w:val="00DE2B1B"/>
    <w:rsid w:val="00DE3122"/>
    <w:rsid w:val="00DE3AD2"/>
    <w:rsid w:val="00DE3E3E"/>
    <w:rsid w:val="00DE3E46"/>
    <w:rsid w:val="00DE4E5E"/>
    <w:rsid w:val="00DE55AD"/>
    <w:rsid w:val="00DE563B"/>
    <w:rsid w:val="00DE56B0"/>
    <w:rsid w:val="00DE5EF8"/>
    <w:rsid w:val="00DE61F0"/>
    <w:rsid w:val="00DE63C3"/>
    <w:rsid w:val="00DE63D3"/>
    <w:rsid w:val="00DE70D0"/>
    <w:rsid w:val="00DE75EE"/>
    <w:rsid w:val="00DE769D"/>
    <w:rsid w:val="00DE76FF"/>
    <w:rsid w:val="00DE7784"/>
    <w:rsid w:val="00DE7A20"/>
    <w:rsid w:val="00DF0D19"/>
    <w:rsid w:val="00DF1952"/>
    <w:rsid w:val="00DF2223"/>
    <w:rsid w:val="00DF25C2"/>
    <w:rsid w:val="00DF32C7"/>
    <w:rsid w:val="00DF3D59"/>
    <w:rsid w:val="00DF41D2"/>
    <w:rsid w:val="00DF54AC"/>
    <w:rsid w:val="00DF5DA8"/>
    <w:rsid w:val="00DF61F3"/>
    <w:rsid w:val="00DF65A8"/>
    <w:rsid w:val="00DF6CD2"/>
    <w:rsid w:val="00DF6EB9"/>
    <w:rsid w:val="00DF77F7"/>
    <w:rsid w:val="00DF7C1D"/>
    <w:rsid w:val="00DF7D8D"/>
    <w:rsid w:val="00E005EE"/>
    <w:rsid w:val="00E00771"/>
    <w:rsid w:val="00E009A2"/>
    <w:rsid w:val="00E00D1A"/>
    <w:rsid w:val="00E01A82"/>
    <w:rsid w:val="00E02077"/>
    <w:rsid w:val="00E02084"/>
    <w:rsid w:val="00E02E86"/>
    <w:rsid w:val="00E02EBA"/>
    <w:rsid w:val="00E030FA"/>
    <w:rsid w:val="00E03C63"/>
    <w:rsid w:val="00E046AC"/>
    <w:rsid w:val="00E04824"/>
    <w:rsid w:val="00E04D52"/>
    <w:rsid w:val="00E05A55"/>
    <w:rsid w:val="00E05CBE"/>
    <w:rsid w:val="00E05E06"/>
    <w:rsid w:val="00E05E2B"/>
    <w:rsid w:val="00E0661D"/>
    <w:rsid w:val="00E0662D"/>
    <w:rsid w:val="00E06E30"/>
    <w:rsid w:val="00E06FD8"/>
    <w:rsid w:val="00E06FFB"/>
    <w:rsid w:val="00E07EDB"/>
    <w:rsid w:val="00E10544"/>
    <w:rsid w:val="00E10D5C"/>
    <w:rsid w:val="00E10EC8"/>
    <w:rsid w:val="00E110E7"/>
    <w:rsid w:val="00E113B5"/>
    <w:rsid w:val="00E1159D"/>
    <w:rsid w:val="00E12161"/>
    <w:rsid w:val="00E12CFB"/>
    <w:rsid w:val="00E1372A"/>
    <w:rsid w:val="00E1470D"/>
    <w:rsid w:val="00E14B4D"/>
    <w:rsid w:val="00E14F7C"/>
    <w:rsid w:val="00E16BD8"/>
    <w:rsid w:val="00E1733C"/>
    <w:rsid w:val="00E176B9"/>
    <w:rsid w:val="00E17838"/>
    <w:rsid w:val="00E17F2F"/>
    <w:rsid w:val="00E1A074"/>
    <w:rsid w:val="00E200E8"/>
    <w:rsid w:val="00E201CB"/>
    <w:rsid w:val="00E210A3"/>
    <w:rsid w:val="00E21202"/>
    <w:rsid w:val="00E2131B"/>
    <w:rsid w:val="00E2142C"/>
    <w:rsid w:val="00E21703"/>
    <w:rsid w:val="00E21705"/>
    <w:rsid w:val="00E21BDB"/>
    <w:rsid w:val="00E224F9"/>
    <w:rsid w:val="00E22507"/>
    <w:rsid w:val="00E2269F"/>
    <w:rsid w:val="00E22A5A"/>
    <w:rsid w:val="00E22B4C"/>
    <w:rsid w:val="00E23006"/>
    <w:rsid w:val="00E234A4"/>
    <w:rsid w:val="00E23EBB"/>
    <w:rsid w:val="00E2471F"/>
    <w:rsid w:val="00E24CF7"/>
    <w:rsid w:val="00E24D45"/>
    <w:rsid w:val="00E251CA"/>
    <w:rsid w:val="00E257DB"/>
    <w:rsid w:val="00E259E4"/>
    <w:rsid w:val="00E262E1"/>
    <w:rsid w:val="00E265B8"/>
    <w:rsid w:val="00E265FC"/>
    <w:rsid w:val="00E266A9"/>
    <w:rsid w:val="00E26AA4"/>
    <w:rsid w:val="00E26D58"/>
    <w:rsid w:val="00E26E16"/>
    <w:rsid w:val="00E27080"/>
    <w:rsid w:val="00E27631"/>
    <w:rsid w:val="00E27CAC"/>
    <w:rsid w:val="00E30091"/>
    <w:rsid w:val="00E304C2"/>
    <w:rsid w:val="00E30582"/>
    <w:rsid w:val="00E30DFA"/>
    <w:rsid w:val="00E3113A"/>
    <w:rsid w:val="00E32224"/>
    <w:rsid w:val="00E32A1A"/>
    <w:rsid w:val="00E33DB2"/>
    <w:rsid w:val="00E33E1B"/>
    <w:rsid w:val="00E33E4B"/>
    <w:rsid w:val="00E340E1"/>
    <w:rsid w:val="00E34246"/>
    <w:rsid w:val="00E342B5"/>
    <w:rsid w:val="00E34365"/>
    <w:rsid w:val="00E344A4"/>
    <w:rsid w:val="00E345BF"/>
    <w:rsid w:val="00E3476E"/>
    <w:rsid w:val="00E34848"/>
    <w:rsid w:val="00E35218"/>
    <w:rsid w:val="00E357B6"/>
    <w:rsid w:val="00E36B16"/>
    <w:rsid w:val="00E375C0"/>
    <w:rsid w:val="00E4004E"/>
    <w:rsid w:val="00E4118E"/>
    <w:rsid w:val="00E41738"/>
    <w:rsid w:val="00E41C37"/>
    <w:rsid w:val="00E42066"/>
    <w:rsid w:val="00E4295A"/>
    <w:rsid w:val="00E429EB"/>
    <w:rsid w:val="00E42AA0"/>
    <w:rsid w:val="00E42D30"/>
    <w:rsid w:val="00E42EF7"/>
    <w:rsid w:val="00E42F9B"/>
    <w:rsid w:val="00E436F8"/>
    <w:rsid w:val="00E440CB"/>
    <w:rsid w:val="00E44421"/>
    <w:rsid w:val="00E44460"/>
    <w:rsid w:val="00E447E0"/>
    <w:rsid w:val="00E44830"/>
    <w:rsid w:val="00E44AD1"/>
    <w:rsid w:val="00E44F7D"/>
    <w:rsid w:val="00E45117"/>
    <w:rsid w:val="00E4520C"/>
    <w:rsid w:val="00E464CE"/>
    <w:rsid w:val="00E468AF"/>
    <w:rsid w:val="00E46A06"/>
    <w:rsid w:val="00E46BDB"/>
    <w:rsid w:val="00E46E84"/>
    <w:rsid w:val="00E4706E"/>
    <w:rsid w:val="00E47572"/>
    <w:rsid w:val="00E500A1"/>
    <w:rsid w:val="00E5011E"/>
    <w:rsid w:val="00E502AB"/>
    <w:rsid w:val="00E5086B"/>
    <w:rsid w:val="00E5096B"/>
    <w:rsid w:val="00E50CB2"/>
    <w:rsid w:val="00E5169C"/>
    <w:rsid w:val="00E52FBF"/>
    <w:rsid w:val="00E53A10"/>
    <w:rsid w:val="00E53DD5"/>
    <w:rsid w:val="00E549B2"/>
    <w:rsid w:val="00E554ED"/>
    <w:rsid w:val="00E561EF"/>
    <w:rsid w:val="00E56BDA"/>
    <w:rsid w:val="00E57FBA"/>
    <w:rsid w:val="00E600DA"/>
    <w:rsid w:val="00E60B5B"/>
    <w:rsid w:val="00E60B7D"/>
    <w:rsid w:val="00E60EEE"/>
    <w:rsid w:val="00E6161F"/>
    <w:rsid w:val="00E61DF7"/>
    <w:rsid w:val="00E625A9"/>
    <w:rsid w:val="00E630A2"/>
    <w:rsid w:val="00E634AC"/>
    <w:rsid w:val="00E635BA"/>
    <w:rsid w:val="00E647AA"/>
    <w:rsid w:val="00E658EB"/>
    <w:rsid w:val="00E65CB4"/>
    <w:rsid w:val="00E664D8"/>
    <w:rsid w:val="00E675C3"/>
    <w:rsid w:val="00E7047C"/>
    <w:rsid w:val="00E705D2"/>
    <w:rsid w:val="00E706A0"/>
    <w:rsid w:val="00E70D61"/>
    <w:rsid w:val="00E71313"/>
    <w:rsid w:val="00E7168A"/>
    <w:rsid w:val="00E71D58"/>
    <w:rsid w:val="00E71E08"/>
    <w:rsid w:val="00E725D2"/>
    <w:rsid w:val="00E72BD8"/>
    <w:rsid w:val="00E72EBD"/>
    <w:rsid w:val="00E72F91"/>
    <w:rsid w:val="00E735E9"/>
    <w:rsid w:val="00E736DA"/>
    <w:rsid w:val="00E7383F"/>
    <w:rsid w:val="00E73EE9"/>
    <w:rsid w:val="00E74354"/>
    <w:rsid w:val="00E74820"/>
    <w:rsid w:val="00E74B03"/>
    <w:rsid w:val="00E765C7"/>
    <w:rsid w:val="00E76728"/>
    <w:rsid w:val="00E77143"/>
    <w:rsid w:val="00E77747"/>
    <w:rsid w:val="00E77A94"/>
    <w:rsid w:val="00E77B19"/>
    <w:rsid w:val="00E803D4"/>
    <w:rsid w:val="00E818F6"/>
    <w:rsid w:val="00E83A2D"/>
    <w:rsid w:val="00E84158"/>
    <w:rsid w:val="00E841B2"/>
    <w:rsid w:val="00E842C4"/>
    <w:rsid w:val="00E848C4"/>
    <w:rsid w:val="00E84CB6"/>
    <w:rsid w:val="00E85B7A"/>
    <w:rsid w:val="00E86DAE"/>
    <w:rsid w:val="00E87A23"/>
    <w:rsid w:val="00E87CDF"/>
    <w:rsid w:val="00E87D3A"/>
    <w:rsid w:val="00E87E41"/>
    <w:rsid w:val="00E913E8"/>
    <w:rsid w:val="00E91CB6"/>
    <w:rsid w:val="00E91DF2"/>
    <w:rsid w:val="00E91E3C"/>
    <w:rsid w:val="00E938A2"/>
    <w:rsid w:val="00E93BBD"/>
    <w:rsid w:val="00E93DFD"/>
    <w:rsid w:val="00E9440C"/>
    <w:rsid w:val="00E94438"/>
    <w:rsid w:val="00E94468"/>
    <w:rsid w:val="00E94742"/>
    <w:rsid w:val="00E94BE3"/>
    <w:rsid w:val="00E94C1C"/>
    <w:rsid w:val="00E9578C"/>
    <w:rsid w:val="00E95A50"/>
    <w:rsid w:val="00E95DFF"/>
    <w:rsid w:val="00E97994"/>
    <w:rsid w:val="00E97C62"/>
    <w:rsid w:val="00E97DA0"/>
    <w:rsid w:val="00E97F4E"/>
    <w:rsid w:val="00EA024B"/>
    <w:rsid w:val="00EA0367"/>
    <w:rsid w:val="00EA1B38"/>
    <w:rsid w:val="00EA200C"/>
    <w:rsid w:val="00EA215A"/>
    <w:rsid w:val="00EA2417"/>
    <w:rsid w:val="00EA38A1"/>
    <w:rsid w:val="00EA3913"/>
    <w:rsid w:val="00EA3ADF"/>
    <w:rsid w:val="00EA3B92"/>
    <w:rsid w:val="00EA3CB3"/>
    <w:rsid w:val="00EA3FAC"/>
    <w:rsid w:val="00EA45D9"/>
    <w:rsid w:val="00EA46AA"/>
    <w:rsid w:val="00EA4789"/>
    <w:rsid w:val="00EA49EF"/>
    <w:rsid w:val="00EA4EE2"/>
    <w:rsid w:val="00EA5229"/>
    <w:rsid w:val="00EA5334"/>
    <w:rsid w:val="00EA5488"/>
    <w:rsid w:val="00EA5D97"/>
    <w:rsid w:val="00EA6050"/>
    <w:rsid w:val="00EA65AB"/>
    <w:rsid w:val="00EA717A"/>
    <w:rsid w:val="00EA793F"/>
    <w:rsid w:val="00EB016F"/>
    <w:rsid w:val="00EB0515"/>
    <w:rsid w:val="00EB067E"/>
    <w:rsid w:val="00EB0F4B"/>
    <w:rsid w:val="00EB10A4"/>
    <w:rsid w:val="00EB1294"/>
    <w:rsid w:val="00EB1C29"/>
    <w:rsid w:val="00EB34A8"/>
    <w:rsid w:val="00EB3B7A"/>
    <w:rsid w:val="00EB40F6"/>
    <w:rsid w:val="00EB483E"/>
    <w:rsid w:val="00EB4C26"/>
    <w:rsid w:val="00EB5310"/>
    <w:rsid w:val="00EB5526"/>
    <w:rsid w:val="00EB5AB0"/>
    <w:rsid w:val="00EB6497"/>
    <w:rsid w:val="00EB6960"/>
    <w:rsid w:val="00EC0884"/>
    <w:rsid w:val="00EC0A1D"/>
    <w:rsid w:val="00EC16A2"/>
    <w:rsid w:val="00EC22A0"/>
    <w:rsid w:val="00EC29EF"/>
    <w:rsid w:val="00EC2B86"/>
    <w:rsid w:val="00EC3177"/>
    <w:rsid w:val="00EC38E8"/>
    <w:rsid w:val="00EC3A26"/>
    <w:rsid w:val="00EC3C96"/>
    <w:rsid w:val="00EC3DF4"/>
    <w:rsid w:val="00EC3EA7"/>
    <w:rsid w:val="00EC3F3E"/>
    <w:rsid w:val="00EC4152"/>
    <w:rsid w:val="00EC488C"/>
    <w:rsid w:val="00EC4990"/>
    <w:rsid w:val="00EC4EAA"/>
    <w:rsid w:val="00EC5B28"/>
    <w:rsid w:val="00EC6736"/>
    <w:rsid w:val="00EC6985"/>
    <w:rsid w:val="00EC7505"/>
    <w:rsid w:val="00EC7A10"/>
    <w:rsid w:val="00EC7D14"/>
    <w:rsid w:val="00EC8673"/>
    <w:rsid w:val="00ED0A14"/>
    <w:rsid w:val="00ED0A4A"/>
    <w:rsid w:val="00ED1326"/>
    <w:rsid w:val="00ED183E"/>
    <w:rsid w:val="00ED1AC3"/>
    <w:rsid w:val="00ED1D94"/>
    <w:rsid w:val="00ED1F02"/>
    <w:rsid w:val="00ED1F20"/>
    <w:rsid w:val="00ED2B2F"/>
    <w:rsid w:val="00ED3050"/>
    <w:rsid w:val="00ED34C1"/>
    <w:rsid w:val="00ED35C9"/>
    <w:rsid w:val="00ED3FF8"/>
    <w:rsid w:val="00ED490C"/>
    <w:rsid w:val="00ED54B3"/>
    <w:rsid w:val="00ED5761"/>
    <w:rsid w:val="00ED590D"/>
    <w:rsid w:val="00ED60F0"/>
    <w:rsid w:val="00ED6A80"/>
    <w:rsid w:val="00ED773D"/>
    <w:rsid w:val="00ED78D9"/>
    <w:rsid w:val="00ED797D"/>
    <w:rsid w:val="00ED79A3"/>
    <w:rsid w:val="00EE0284"/>
    <w:rsid w:val="00EE0DC9"/>
    <w:rsid w:val="00EE15C3"/>
    <w:rsid w:val="00EE1867"/>
    <w:rsid w:val="00EE195B"/>
    <w:rsid w:val="00EE2DD5"/>
    <w:rsid w:val="00EE2F90"/>
    <w:rsid w:val="00EE3129"/>
    <w:rsid w:val="00EE4395"/>
    <w:rsid w:val="00EE5282"/>
    <w:rsid w:val="00EE549A"/>
    <w:rsid w:val="00EE5528"/>
    <w:rsid w:val="00EE5DAA"/>
    <w:rsid w:val="00EE624C"/>
    <w:rsid w:val="00EE62DD"/>
    <w:rsid w:val="00EE6B6A"/>
    <w:rsid w:val="00EE6CDA"/>
    <w:rsid w:val="00EE75A2"/>
    <w:rsid w:val="00EE7767"/>
    <w:rsid w:val="00EF0593"/>
    <w:rsid w:val="00EF08D0"/>
    <w:rsid w:val="00EF0F41"/>
    <w:rsid w:val="00EF11AD"/>
    <w:rsid w:val="00EF12DC"/>
    <w:rsid w:val="00EF1484"/>
    <w:rsid w:val="00EF1656"/>
    <w:rsid w:val="00EF1D63"/>
    <w:rsid w:val="00EF27A9"/>
    <w:rsid w:val="00EF2AA4"/>
    <w:rsid w:val="00EF4C35"/>
    <w:rsid w:val="00EF567B"/>
    <w:rsid w:val="00EF6309"/>
    <w:rsid w:val="00EF69D4"/>
    <w:rsid w:val="00EF7145"/>
    <w:rsid w:val="00EF7479"/>
    <w:rsid w:val="00EF78AD"/>
    <w:rsid w:val="00EF79E9"/>
    <w:rsid w:val="00F00311"/>
    <w:rsid w:val="00F011B1"/>
    <w:rsid w:val="00F01245"/>
    <w:rsid w:val="00F01427"/>
    <w:rsid w:val="00F01522"/>
    <w:rsid w:val="00F01811"/>
    <w:rsid w:val="00F01AE5"/>
    <w:rsid w:val="00F01B33"/>
    <w:rsid w:val="00F0201A"/>
    <w:rsid w:val="00F020CE"/>
    <w:rsid w:val="00F02842"/>
    <w:rsid w:val="00F02899"/>
    <w:rsid w:val="00F03922"/>
    <w:rsid w:val="00F039B3"/>
    <w:rsid w:val="00F03A06"/>
    <w:rsid w:val="00F0441E"/>
    <w:rsid w:val="00F048CF"/>
    <w:rsid w:val="00F049F8"/>
    <w:rsid w:val="00F04D79"/>
    <w:rsid w:val="00F0563E"/>
    <w:rsid w:val="00F05E93"/>
    <w:rsid w:val="00F07390"/>
    <w:rsid w:val="00F07934"/>
    <w:rsid w:val="00F07D17"/>
    <w:rsid w:val="00F10136"/>
    <w:rsid w:val="00F10629"/>
    <w:rsid w:val="00F106E5"/>
    <w:rsid w:val="00F10982"/>
    <w:rsid w:val="00F12E2F"/>
    <w:rsid w:val="00F130CC"/>
    <w:rsid w:val="00F133A7"/>
    <w:rsid w:val="00F13740"/>
    <w:rsid w:val="00F137B2"/>
    <w:rsid w:val="00F13C08"/>
    <w:rsid w:val="00F149A2"/>
    <w:rsid w:val="00F1566B"/>
    <w:rsid w:val="00F158E8"/>
    <w:rsid w:val="00F15941"/>
    <w:rsid w:val="00F159DC"/>
    <w:rsid w:val="00F1635C"/>
    <w:rsid w:val="00F167C3"/>
    <w:rsid w:val="00F16870"/>
    <w:rsid w:val="00F16A40"/>
    <w:rsid w:val="00F16F39"/>
    <w:rsid w:val="00F177BB"/>
    <w:rsid w:val="00F2040E"/>
    <w:rsid w:val="00F209CF"/>
    <w:rsid w:val="00F21016"/>
    <w:rsid w:val="00F21981"/>
    <w:rsid w:val="00F21B3E"/>
    <w:rsid w:val="00F21C82"/>
    <w:rsid w:val="00F2233D"/>
    <w:rsid w:val="00F22EA8"/>
    <w:rsid w:val="00F23D25"/>
    <w:rsid w:val="00F23FDE"/>
    <w:rsid w:val="00F24204"/>
    <w:rsid w:val="00F24407"/>
    <w:rsid w:val="00F24690"/>
    <w:rsid w:val="00F25157"/>
    <w:rsid w:val="00F252D1"/>
    <w:rsid w:val="00F257F4"/>
    <w:rsid w:val="00F25B64"/>
    <w:rsid w:val="00F26FA6"/>
    <w:rsid w:val="00F277F7"/>
    <w:rsid w:val="00F30681"/>
    <w:rsid w:val="00F3150D"/>
    <w:rsid w:val="00F31521"/>
    <w:rsid w:val="00F31862"/>
    <w:rsid w:val="00F31ACC"/>
    <w:rsid w:val="00F321D0"/>
    <w:rsid w:val="00F32ADF"/>
    <w:rsid w:val="00F32E58"/>
    <w:rsid w:val="00F32FF8"/>
    <w:rsid w:val="00F34BA7"/>
    <w:rsid w:val="00F358AA"/>
    <w:rsid w:val="00F360FA"/>
    <w:rsid w:val="00F361CD"/>
    <w:rsid w:val="00F3679D"/>
    <w:rsid w:val="00F36FB2"/>
    <w:rsid w:val="00F37229"/>
    <w:rsid w:val="00F37BB9"/>
    <w:rsid w:val="00F37BE2"/>
    <w:rsid w:val="00F4133E"/>
    <w:rsid w:val="00F41461"/>
    <w:rsid w:val="00F41B38"/>
    <w:rsid w:val="00F41C72"/>
    <w:rsid w:val="00F41D3A"/>
    <w:rsid w:val="00F42187"/>
    <w:rsid w:val="00F42261"/>
    <w:rsid w:val="00F4253B"/>
    <w:rsid w:val="00F427F1"/>
    <w:rsid w:val="00F43433"/>
    <w:rsid w:val="00F44295"/>
    <w:rsid w:val="00F44AE7"/>
    <w:rsid w:val="00F44B33"/>
    <w:rsid w:val="00F4596A"/>
    <w:rsid w:val="00F45D8D"/>
    <w:rsid w:val="00F46ACA"/>
    <w:rsid w:val="00F46F4F"/>
    <w:rsid w:val="00F47195"/>
    <w:rsid w:val="00F47497"/>
    <w:rsid w:val="00F477C4"/>
    <w:rsid w:val="00F50B99"/>
    <w:rsid w:val="00F50DBD"/>
    <w:rsid w:val="00F511BD"/>
    <w:rsid w:val="00F51332"/>
    <w:rsid w:val="00F51555"/>
    <w:rsid w:val="00F51EA8"/>
    <w:rsid w:val="00F51FE3"/>
    <w:rsid w:val="00F522A4"/>
    <w:rsid w:val="00F522A7"/>
    <w:rsid w:val="00F526F3"/>
    <w:rsid w:val="00F52C30"/>
    <w:rsid w:val="00F53B3D"/>
    <w:rsid w:val="00F53D7D"/>
    <w:rsid w:val="00F53FDF"/>
    <w:rsid w:val="00F54491"/>
    <w:rsid w:val="00F54FD9"/>
    <w:rsid w:val="00F55581"/>
    <w:rsid w:val="00F56979"/>
    <w:rsid w:val="00F56DAA"/>
    <w:rsid w:val="00F56E78"/>
    <w:rsid w:val="00F57214"/>
    <w:rsid w:val="00F57A2A"/>
    <w:rsid w:val="00F57A37"/>
    <w:rsid w:val="00F57BDE"/>
    <w:rsid w:val="00F57D43"/>
    <w:rsid w:val="00F60CEB"/>
    <w:rsid w:val="00F60FED"/>
    <w:rsid w:val="00F610FE"/>
    <w:rsid w:val="00F61188"/>
    <w:rsid w:val="00F617DC"/>
    <w:rsid w:val="00F629FD"/>
    <w:rsid w:val="00F63653"/>
    <w:rsid w:val="00F639C1"/>
    <w:rsid w:val="00F63C85"/>
    <w:rsid w:val="00F63C8A"/>
    <w:rsid w:val="00F63D81"/>
    <w:rsid w:val="00F640B4"/>
    <w:rsid w:val="00F6461C"/>
    <w:rsid w:val="00F646B9"/>
    <w:rsid w:val="00F649DF"/>
    <w:rsid w:val="00F64C50"/>
    <w:rsid w:val="00F6520F"/>
    <w:rsid w:val="00F65D7C"/>
    <w:rsid w:val="00F665E2"/>
    <w:rsid w:val="00F666CF"/>
    <w:rsid w:val="00F66711"/>
    <w:rsid w:val="00F66F6D"/>
    <w:rsid w:val="00F6739A"/>
    <w:rsid w:val="00F67757"/>
    <w:rsid w:val="00F677B0"/>
    <w:rsid w:val="00F67F4F"/>
    <w:rsid w:val="00F705B5"/>
    <w:rsid w:val="00F70CFE"/>
    <w:rsid w:val="00F70E0F"/>
    <w:rsid w:val="00F71123"/>
    <w:rsid w:val="00F713E2"/>
    <w:rsid w:val="00F71605"/>
    <w:rsid w:val="00F718F0"/>
    <w:rsid w:val="00F71F74"/>
    <w:rsid w:val="00F71FBF"/>
    <w:rsid w:val="00F72467"/>
    <w:rsid w:val="00F7286A"/>
    <w:rsid w:val="00F728F6"/>
    <w:rsid w:val="00F73787"/>
    <w:rsid w:val="00F743EE"/>
    <w:rsid w:val="00F744EF"/>
    <w:rsid w:val="00F74A2B"/>
    <w:rsid w:val="00F75900"/>
    <w:rsid w:val="00F75F72"/>
    <w:rsid w:val="00F760A1"/>
    <w:rsid w:val="00F764B1"/>
    <w:rsid w:val="00F76AF2"/>
    <w:rsid w:val="00F76B6F"/>
    <w:rsid w:val="00F77276"/>
    <w:rsid w:val="00F7781B"/>
    <w:rsid w:val="00F80B59"/>
    <w:rsid w:val="00F80E54"/>
    <w:rsid w:val="00F8115A"/>
    <w:rsid w:val="00F815F1"/>
    <w:rsid w:val="00F81704"/>
    <w:rsid w:val="00F81E17"/>
    <w:rsid w:val="00F823EA"/>
    <w:rsid w:val="00F82737"/>
    <w:rsid w:val="00F82D2F"/>
    <w:rsid w:val="00F82E5A"/>
    <w:rsid w:val="00F83193"/>
    <w:rsid w:val="00F83485"/>
    <w:rsid w:val="00F8351F"/>
    <w:rsid w:val="00F839FB"/>
    <w:rsid w:val="00F83C43"/>
    <w:rsid w:val="00F83EA5"/>
    <w:rsid w:val="00F848F9"/>
    <w:rsid w:val="00F84A9F"/>
    <w:rsid w:val="00F84C01"/>
    <w:rsid w:val="00F84D0B"/>
    <w:rsid w:val="00F84EB3"/>
    <w:rsid w:val="00F85166"/>
    <w:rsid w:val="00F85C91"/>
    <w:rsid w:val="00F86233"/>
    <w:rsid w:val="00F871E0"/>
    <w:rsid w:val="00F87620"/>
    <w:rsid w:val="00F87718"/>
    <w:rsid w:val="00F878FD"/>
    <w:rsid w:val="00F8793D"/>
    <w:rsid w:val="00F90051"/>
    <w:rsid w:val="00F901C1"/>
    <w:rsid w:val="00F902CA"/>
    <w:rsid w:val="00F90335"/>
    <w:rsid w:val="00F90790"/>
    <w:rsid w:val="00F90EB8"/>
    <w:rsid w:val="00F90F41"/>
    <w:rsid w:val="00F91278"/>
    <w:rsid w:val="00F91A92"/>
    <w:rsid w:val="00F91BC3"/>
    <w:rsid w:val="00F91DAE"/>
    <w:rsid w:val="00F920F0"/>
    <w:rsid w:val="00F932F7"/>
    <w:rsid w:val="00F933A8"/>
    <w:rsid w:val="00F93802"/>
    <w:rsid w:val="00F93889"/>
    <w:rsid w:val="00F93A18"/>
    <w:rsid w:val="00F94194"/>
    <w:rsid w:val="00F9427D"/>
    <w:rsid w:val="00F945FC"/>
    <w:rsid w:val="00F9475A"/>
    <w:rsid w:val="00F94807"/>
    <w:rsid w:val="00F94C28"/>
    <w:rsid w:val="00F9511F"/>
    <w:rsid w:val="00F9523F"/>
    <w:rsid w:val="00F952B0"/>
    <w:rsid w:val="00F954C5"/>
    <w:rsid w:val="00F9566C"/>
    <w:rsid w:val="00F95AC8"/>
    <w:rsid w:val="00F96A6F"/>
    <w:rsid w:val="00F9717D"/>
    <w:rsid w:val="00F97445"/>
    <w:rsid w:val="00F97836"/>
    <w:rsid w:val="00F97EF7"/>
    <w:rsid w:val="00F97FA1"/>
    <w:rsid w:val="00FA0161"/>
    <w:rsid w:val="00FA01E8"/>
    <w:rsid w:val="00FA08EC"/>
    <w:rsid w:val="00FA1484"/>
    <w:rsid w:val="00FA16CA"/>
    <w:rsid w:val="00FA18A7"/>
    <w:rsid w:val="00FA2A26"/>
    <w:rsid w:val="00FA2B2F"/>
    <w:rsid w:val="00FA2D51"/>
    <w:rsid w:val="00FA2EA5"/>
    <w:rsid w:val="00FA36D2"/>
    <w:rsid w:val="00FA456F"/>
    <w:rsid w:val="00FA486E"/>
    <w:rsid w:val="00FA4A59"/>
    <w:rsid w:val="00FA5476"/>
    <w:rsid w:val="00FA5D39"/>
    <w:rsid w:val="00FA6099"/>
    <w:rsid w:val="00FA6402"/>
    <w:rsid w:val="00FA678F"/>
    <w:rsid w:val="00FA7501"/>
    <w:rsid w:val="00FB05A6"/>
    <w:rsid w:val="00FB08FC"/>
    <w:rsid w:val="00FB0B18"/>
    <w:rsid w:val="00FB0BC6"/>
    <w:rsid w:val="00FB0E88"/>
    <w:rsid w:val="00FB110F"/>
    <w:rsid w:val="00FB122A"/>
    <w:rsid w:val="00FB13EE"/>
    <w:rsid w:val="00FB158E"/>
    <w:rsid w:val="00FB16E3"/>
    <w:rsid w:val="00FB1750"/>
    <w:rsid w:val="00FB21DD"/>
    <w:rsid w:val="00FB26D6"/>
    <w:rsid w:val="00FB342A"/>
    <w:rsid w:val="00FB3C95"/>
    <w:rsid w:val="00FB4A1C"/>
    <w:rsid w:val="00FB54A4"/>
    <w:rsid w:val="00FB5CFD"/>
    <w:rsid w:val="00FB633C"/>
    <w:rsid w:val="00FB6525"/>
    <w:rsid w:val="00FB69CC"/>
    <w:rsid w:val="00FB6B6B"/>
    <w:rsid w:val="00FB7077"/>
    <w:rsid w:val="00FB73A5"/>
    <w:rsid w:val="00FB7854"/>
    <w:rsid w:val="00FB7ABC"/>
    <w:rsid w:val="00FB7BA3"/>
    <w:rsid w:val="00FB7FFA"/>
    <w:rsid w:val="00FC0410"/>
    <w:rsid w:val="00FC1846"/>
    <w:rsid w:val="00FC1A31"/>
    <w:rsid w:val="00FC2940"/>
    <w:rsid w:val="00FC2D95"/>
    <w:rsid w:val="00FC343A"/>
    <w:rsid w:val="00FC3B3A"/>
    <w:rsid w:val="00FC3D6C"/>
    <w:rsid w:val="00FC3E9D"/>
    <w:rsid w:val="00FC3EFE"/>
    <w:rsid w:val="00FC4C59"/>
    <w:rsid w:val="00FC5037"/>
    <w:rsid w:val="00FC69BE"/>
    <w:rsid w:val="00FC6C45"/>
    <w:rsid w:val="00FC6D6A"/>
    <w:rsid w:val="00FC6E32"/>
    <w:rsid w:val="00FC6E9C"/>
    <w:rsid w:val="00FC71F1"/>
    <w:rsid w:val="00FC7D0F"/>
    <w:rsid w:val="00FD0723"/>
    <w:rsid w:val="00FD0A5A"/>
    <w:rsid w:val="00FD1297"/>
    <w:rsid w:val="00FD1560"/>
    <w:rsid w:val="00FD1788"/>
    <w:rsid w:val="00FD1D2E"/>
    <w:rsid w:val="00FD1EF1"/>
    <w:rsid w:val="00FD2115"/>
    <w:rsid w:val="00FD2B23"/>
    <w:rsid w:val="00FD32BC"/>
    <w:rsid w:val="00FD39CC"/>
    <w:rsid w:val="00FD53F0"/>
    <w:rsid w:val="00FD5505"/>
    <w:rsid w:val="00FD65DB"/>
    <w:rsid w:val="00FD67B6"/>
    <w:rsid w:val="00FD68DB"/>
    <w:rsid w:val="00FD6BA3"/>
    <w:rsid w:val="00FD71C3"/>
    <w:rsid w:val="00FD733B"/>
    <w:rsid w:val="00FD7396"/>
    <w:rsid w:val="00FD73D0"/>
    <w:rsid w:val="00FD7887"/>
    <w:rsid w:val="00FD7BEE"/>
    <w:rsid w:val="00FE01C1"/>
    <w:rsid w:val="00FE0372"/>
    <w:rsid w:val="00FE09A7"/>
    <w:rsid w:val="00FE0F0F"/>
    <w:rsid w:val="00FE17CA"/>
    <w:rsid w:val="00FE1895"/>
    <w:rsid w:val="00FE18C0"/>
    <w:rsid w:val="00FE1AB8"/>
    <w:rsid w:val="00FE2007"/>
    <w:rsid w:val="00FE2260"/>
    <w:rsid w:val="00FE291C"/>
    <w:rsid w:val="00FE2A21"/>
    <w:rsid w:val="00FE2A80"/>
    <w:rsid w:val="00FE35A1"/>
    <w:rsid w:val="00FE35F1"/>
    <w:rsid w:val="00FE3B75"/>
    <w:rsid w:val="00FE3CF5"/>
    <w:rsid w:val="00FE42D1"/>
    <w:rsid w:val="00FE4782"/>
    <w:rsid w:val="00FE4D78"/>
    <w:rsid w:val="00FE59FA"/>
    <w:rsid w:val="00FE6255"/>
    <w:rsid w:val="00FE64B3"/>
    <w:rsid w:val="00FE6DB9"/>
    <w:rsid w:val="00FE713B"/>
    <w:rsid w:val="00FE7513"/>
    <w:rsid w:val="00FE7598"/>
    <w:rsid w:val="00FE7627"/>
    <w:rsid w:val="00FE7C77"/>
    <w:rsid w:val="00FE7C86"/>
    <w:rsid w:val="00FF0034"/>
    <w:rsid w:val="00FF016C"/>
    <w:rsid w:val="00FF061B"/>
    <w:rsid w:val="00FF081D"/>
    <w:rsid w:val="00FF0AB4"/>
    <w:rsid w:val="00FF0EA0"/>
    <w:rsid w:val="00FF11A1"/>
    <w:rsid w:val="00FF189D"/>
    <w:rsid w:val="00FF1CFB"/>
    <w:rsid w:val="00FF1ED8"/>
    <w:rsid w:val="00FF36E2"/>
    <w:rsid w:val="00FF4032"/>
    <w:rsid w:val="00FF468A"/>
    <w:rsid w:val="00FF4CFD"/>
    <w:rsid w:val="00FF5C86"/>
    <w:rsid w:val="00FF626E"/>
    <w:rsid w:val="00FF62C1"/>
    <w:rsid w:val="00FF6841"/>
    <w:rsid w:val="00FF6BF9"/>
    <w:rsid w:val="00FF71BF"/>
    <w:rsid w:val="00FF7284"/>
    <w:rsid w:val="00FF7502"/>
    <w:rsid w:val="00FF78A8"/>
    <w:rsid w:val="00FF7B0C"/>
    <w:rsid w:val="00FF7E55"/>
    <w:rsid w:val="0106CD7B"/>
    <w:rsid w:val="012CE6A9"/>
    <w:rsid w:val="0136E409"/>
    <w:rsid w:val="013B60AB"/>
    <w:rsid w:val="0151FB81"/>
    <w:rsid w:val="01539786"/>
    <w:rsid w:val="015912E3"/>
    <w:rsid w:val="01641004"/>
    <w:rsid w:val="0186AFB5"/>
    <w:rsid w:val="018892D4"/>
    <w:rsid w:val="01A16D16"/>
    <w:rsid w:val="01A5DADF"/>
    <w:rsid w:val="01AC4B5E"/>
    <w:rsid w:val="01E65653"/>
    <w:rsid w:val="01EDA5B3"/>
    <w:rsid w:val="01F4E9EE"/>
    <w:rsid w:val="01F5A6C5"/>
    <w:rsid w:val="02205A45"/>
    <w:rsid w:val="023B9B56"/>
    <w:rsid w:val="024C23A2"/>
    <w:rsid w:val="0269267D"/>
    <w:rsid w:val="026DF73B"/>
    <w:rsid w:val="02706C72"/>
    <w:rsid w:val="0270E18E"/>
    <w:rsid w:val="0274FF89"/>
    <w:rsid w:val="027BEAFF"/>
    <w:rsid w:val="02A97173"/>
    <w:rsid w:val="02B08984"/>
    <w:rsid w:val="02E8877B"/>
    <w:rsid w:val="02F278CF"/>
    <w:rsid w:val="03134D04"/>
    <w:rsid w:val="03483238"/>
    <w:rsid w:val="035F21E7"/>
    <w:rsid w:val="0379FFF7"/>
    <w:rsid w:val="0398EA41"/>
    <w:rsid w:val="03AF89FE"/>
    <w:rsid w:val="03BBA109"/>
    <w:rsid w:val="03C33806"/>
    <w:rsid w:val="03C9E2CC"/>
    <w:rsid w:val="03CB0244"/>
    <w:rsid w:val="03D1BB23"/>
    <w:rsid w:val="03DF8A50"/>
    <w:rsid w:val="042B6170"/>
    <w:rsid w:val="042C4867"/>
    <w:rsid w:val="0431319A"/>
    <w:rsid w:val="044E89AC"/>
    <w:rsid w:val="045A6510"/>
    <w:rsid w:val="04723B58"/>
    <w:rsid w:val="04A084E3"/>
    <w:rsid w:val="04ABF613"/>
    <w:rsid w:val="04B3D280"/>
    <w:rsid w:val="04C26D7E"/>
    <w:rsid w:val="04E1F340"/>
    <w:rsid w:val="05033161"/>
    <w:rsid w:val="05119E13"/>
    <w:rsid w:val="053E208A"/>
    <w:rsid w:val="056F01E9"/>
    <w:rsid w:val="0579179E"/>
    <w:rsid w:val="057EA180"/>
    <w:rsid w:val="0581B0C8"/>
    <w:rsid w:val="0588CE28"/>
    <w:rsid w:val="05BC5F68"/>
    <w:rsid w:val="05D19DBD"/>
    <w:rsid w:val="05EC4B05"/>
    <w:rsid w:val="05F05598"/>
    <w:rsid w:val="0629A067"/>
    <w:rsid w:val="06367634"/>
    <w:rsid w:val="063B6D92"/>
    <w:rsid w:val="06432F8C"/>
    <w:rsid w:val="068F8894"/>
    <w:rsid w:val="06BAA256"/>
    <w:rsid w:val="06BBC994"/>
    <w:rsid w:val="06C52947"/>
    <w:rsid w:val="06E68E5D"/>
    <w:rsid w:val="06E7177F"/>
    <w:rsid w:val="071A2F78"/>
    <w:rsid w:val="07326FE6"/>
    <w:rsid w:val="075F8167"/>
    <w:rsid w:val="0760EF13"/>
    <w:rsid w:val="078E3289"/>
    <w:rsid w:val="078E372A"/>
    <w:rsid w:val="07B13FCB"/>
    <w:rsid w:val="07B74E16"/>
    <w:rsid w:val="07BE658B"/>
    <w:rsid w:val="07CCA2F7"/>
    <w:rsid w:val="07CF69C2"/>
    <w:rsid w:val="07D0BF24"/>
    <w:rsid w:val="07E67F53"/>
    <w:rsid w:val="07EB5B79"/>
    <w:rsid w:val="07F849F7"/>
    <w:rsid w:val="080F04A9"/>
    <w:rsid w:val="0815202C"/>
    <w:rsid w:val="08227498"/>
    <w:rsid w:val="0823EC05"/>
    <w:rsid w:val="08287CDA"/>
    <w:rsid w:val="088CC728"/>
    <w:rsid w:val="0892FA59"/>
    <w:rsid w:val="08AB7639"/>
    <w:rsid w:val="08AC2214"/>
    <w:rsid w:val="08B238D5"/>
    <w:rsid w:val="08B76D3C"/>
    <w:rsid w:val="08BE13C6"/>
    <w:rsid w:val="08C10DA8"/>
    <w:rsid w:val="08EDF4D4"/>
    <w:rsid w:val="08EE5A88"/>
    <w:rsid w:val="09001CBD"/>
    <w:rsid w:val="090C8FC5"/>
    <w:rsid w:val="09445C00"/>
    <w:rsid w:val="094F4722"/>
    <w:rsid w:val="095123C6"/>
    <w:rsid w:val="0975CE42"/>
    <w:rsid w:val="097FD3AE"/>
    <w:rsid w:val="0980430E"/>
    <w:rsid w:val="099B8253"/>
    <w:rsid w:val="09B1DE47"/>
    <w:rsid w:val="09B273D3"/>
    <w:rsid w:val="09BE04B1"/>
    <w:rsid w:val="09C4CE65"/>
    <w:rsid w:val="09FE332C"/>
    <w:rsid w:val="0A1AB48A"/>
    <w:rsid w:val="0A206C41"/>
    <w:rsid w:val="0A3C7A1C"/>
    <w:rsid w:val="0A61B83E"/>
    <w:rsid w:val="0A766129"/>
    <w:rsid w:val="0A7E3319"/>
    <w:rsid w:val="0A81C561"/>
    <w:rsid w:val="0A8B9AE7"/>
    <w:rsid w:val="0AA562B7"/>
    <w:rsid w:val="0AAF8F74"/>
    <w:rsid w:val="0ABAB578"/>
    <w:rsid w:val="0ABE7B98"/>
    <w:rsid w:val="0AC279FB"/>
    <w:rsid w:val="0AC70A81"/>
    <w:rsid w:val="0ACE5541"/>
    <w:rsid w:val="0AFEC259"/>
    <w:rsid w:val="0B0585C2"/>
    <w:rsid w:val="0B0A62CA"/>
    <w:rsid w:val="0B15E5C3"/>
    <w:rsid w:val="0B1C4DE1"/>
    <w:rsid w:val="0B319F42"/>
    <w:rsid w:val="0B32BD5A"/>
    <w:rsid w:val="0B498297"/>
    <w:rsid w:val="0B7F1BBF"/>
    <w:rsid w:val="0BBA50DA"/>
    <w:rsid w:val="0BD52641"/>
    <w:rsid w:val="0BD70312"/>
    <w:rsid w:val="0BEC5A6D"/>
    <w:rsid w:val="0BEC8FDE"/>
    <w:rsid w:val="0BFCF1B3"/>
    <w:rsid w:val="0C2AAF7C"/>
    <w:rsid w:val="0C3D2720"/>
    <w:rsid w:val="0C40ABE3"/>
    <w:rsid w:val="0C485B83"/>
    <w:rsid w:val="0C49C800"/>
    <w:rsid w:val="0C5AC36B"/>
    <w:rsid w:val="0C5BCD0B"/>
    <w:rsid w:val="0C832B6F"/>
    <w:rsid w:val="0C8E5D3A"/>
    <w:rsid w:val="0CB0C984"/>
    <w:rsid w:val="0CB23393"/>
    <w:rsid w:val="0CCDD345"/>
    <w:rsid w:val="0D1A1EBC"/>
    <w:rsid w:val="0D25484D"/>
    <w:rsid w:val="0D2CBCE7"/>
    <w:rsid w:val="0D4C0DCA"/>
    <w:rsid w:val="0D614EFF"/>
    <w:rsid w:val="0D6CA4C0"/>
    <w:rsid w:val="0D7E0628"/>
    <w:rsid w:val="0DAB4B78"/>
    <w:rsid w:val="0DC028FB"/>
    <w:rsid w:val="0DCBFA6C"/>
    <w:rsid w:val="0DE421BB"/>
    <w:rsid w:val="0DFA726D"/>
    <w:rsid w:val="0DFDC447"/>
    <w:rsid w:val="0E04B7F2"/>
    <w:rsid w:val="0E0F629F"/>
    <w:rsid w:val="0E19EA23"/>
    <w:rsid w:val="0E285027"/>
    <w:rsid w:val="0E457E97"/>
    <w:rsid w:val="0E47FE63"/>
    <w:rsid w:val="0E5E7310"/>
    <w:rsid w:val="0E687AC5"/>
    <w:rsid w:val="0E747BD6"/>
    <w:rsid w:val="0E8EC34C"/>
    <w:rsid w:val="0E93C2DD"/>
    <w:rsid w:val="0E9870A8"/>
    <w:rsid w:val="0EB250E9"/>
    <w:rsid w:val="0ECCEF8A"/>
    <w:rsid w:val="0F10A1C6"/>
    <w:rsid w:val="0F135A37"/>
    <w:rsid w:val="0F3057C1"/>
    <w:rsid w:val="0F4D3DAC"/>
    <w:rsid w:val="0F5B6940"/>
    <w:rsid w:val="0F8FC184"/>
    <w:rsid w:val="0F97E827"/>
    <w:rsid w:val="0FA13CA1"/>
    <w:rsid w:val="0FA61EA2"/>
    <w:rsid w:val="0FA72E0B"/>
    <w:rsid w:val="0FB605E4"/>
    <w:rsid w:val="0FB9263E"/>
    <w:rsid w:val="0FD30348"/>
    <w:rsid w:val="0FD795F2"/>
    <w:rsid w:val="0FE1A97B"/>
    <w:rsid w:val="0FE8D40E"/>
    <w:rsid w:val="0FFB7B80"/>
    <w:rsid w:val="10039734"/>
    <w:rsid w:val="1003E1C8"/>
    <w:rsid w:val="10164DF3"/>
    <w:rsid w:val="102817B6"/>
    <w:rsid w:val="1037DA02"/>
    <w:rsid w:val="10463CE3"/>
    <w:rsid w:val="10536E06"/>
    <w:rsid w:val="10679E1D"/>
    <w:rsid w:val="10755955"/>
    <w:rsid w:val="1075C1C5"/>
    <w:rsid w:val="108B3A81"/>
    <w:rsid w:val="10AD804B"/>
    <w:rsid w:val="10CC8EAE"/>
    <w:rsid w:val="10E67AB2"/>
    <w:rsid w:val="10F2E5D0"/>
    <w:rsid w:val="111FFA4B"/>
    <w:rsid w:val="11283DF3"/>
    <w:rsid w:val="112A0FA2"/>
    <w:rsid w:val="113F1DBA"/>
    <w:rsid w:val="113F684F"/>
    <w:rsid w:val="114CB844"/>
    <w:rsid w:val="11532FD7"/>
    <w:rsid w:val="115F9361"/>
    <w:rsid w:val="1166A888"/>
    <w:rsid w:val="116810D5"/>
    <w:rsid w:val="116A6846"/>
    <w:rsid w:val="1179E4C3"/>
    <w:rsid w:val="1193519E"/>
    <w:rsid w:val="11968FFB"/>
    <w:rsid w:val="11CDE06C"/>
    <w:rsid w:val="11F07234"/>
    <w:rsid w:val="12007E65"/>
    <w:rsid w:val="121D9CB7"/>
    <w:rsid w:val="12386CEC"/>
    <w:rsid w:val="12442545"/>
    <w:rsid w:val="124EC8C8"/>
    <w:rsid w:val="125257BC"/>
    <w:rsid w:val="1281C018"/>
    <w:rsid w:val="128DDC80"/>
    <w:rsid w:val="1299CB48"/>
    <w:rsid w:val="12C2D359"/>
    <w:rsid w:val="12D3030B"/>
    <w:rsid w:val="12DAC0B6"/>
    <w:rsid w:val="12FA1782"/>
    <w:rsid w:val="130BB9C0"/>
    <w:rsid w:val="1325949D"/>
    <w:rsid w:val="13829A9D"/>
    <w:rsid w:val="13A07DEC"/>
    <w:rsid w:val="13B7F25F"/>
    <w:rsid w:val="13C02830"/>
    <w:rsid w:val="13C4BB31"/>
    <w:rsid w:val="13D0D999"/>
    <w:rsid w:val="13D85805"/>
    <w:rsid w:val="13D92547"/>
    <w:rsid w:val="13E5CBB8"/>
    <w:rsid w:val="1425E16B"/>
    <w:rsid w:val="142645DC"/>
    <w:rsid w:val="1450A531"/>
    <w:rsid w:val="1469BA2B"/>
    <w:rsid w:val="146C70DE"/>
    <w:rsid w:val="146E9F6F"/>
    <w:rsid w:val="1473F5A2"/>
    <w:rsid w:val="147586C4"/>
    <w:rsid w:val="1480A38A"/>
    <w:rsid w:val="14916610"/>
    <w:rsid w:val="14AC34BE"/>
    <w:rsid w:val="14C36C65"/>
    <w:rsid w:val="14C45BE4"/>
    <w:rsid w:val="14D951D0"/>
    <w:rsid w:val="14EA4412"/>
    <w:rsid w:val="14EC014A"/>
    <w:rsid w:val="14F14275"/>
    <w:rsid w:val="15028FF0"/>
    <w:rsid w:val="15053874"/>
    <w:rsid w:val="1505E837"/>
    <w:rsid w:val="150BCB9F"/>
    <w:rsid w:val="151C1011"/>
    <w:rsid w:val="15264A88"/>
    <w:rsid w:val="1530B609"/>
    <w:rsid w:val="1531F80B"/>
    <w:rsid w:val="1549BA00"/>
    <w:rsid w:val="157E3505"/>
    <w:rsid w:val="158B1539"/>
    <w:rsid w:val="1590724F"/>
    <w:rsid w:val="15953EE8"/>
    <w:rsid w:val="15A12D7F"/>
    <w:rsid w:val="15B7DD91"/>
    <w:rsid w:val="15BF02D1"/>
    <w:rsid w:val="15C59994"/>
    <w:rsid w:val="15D2B449"/>
    <w:rsid w:val="15EF7231"/>
    <w:rsid w:val="15F8D37D"/>
    <w:rsid w:val="15FBB107"/>
    <w:rsid w:val="16113CF8"/>
    <w:rsid w:val="163FE0DC"/>
    <w:rsid w:val="1645E101"/>
    <w:rsid w:val="1655478D"/>
    <w:rsid w:val="165B0F46"/>
    <w:rsid w:val="165FB87D"/>
    <w:rsid w:val="166DB857"/>
    <w:rsid w:val="1670CB46"/>
    <w:rsid w:val="169E1F1B"/>
    <w:rsid w:val="16D450E9"/>
    <w:rsid w:val="16E5C018"/>
    <w:rsid w:val="16E8C542"/>
    <w:rsid w:val="16F2E4F9"/>
    <w:rsid w:val="16F817DF"/>
    <w:rsid w:val="16F93321"/>
    <w:rsid w:val="170EB048"/>
    <w:rsid w:val="1711F50F"/>
    <w:rsid w:val="172AD9AE"/>
    <w:rsid w:val="172ECFF5"/>
    <w:rsid w:val="1732B6D3"/>
    <w:rsid w:val="173CD57B"/>
    <w:rsid w:val="173DE82E"/>
    <w:rsid w:val="173F6622"/>
    <w:rsid w:val="17492271"/>
    <w:rsid w:val="177858A2"/>
    <w:rsid w:val="17789143"/>
    <w:rsid w:val="1778CFCF"/>
    <w:rsid w:val="1784ADD3"/>
    <w:rsid w:val="17BF6389"/>
    <w:rsid w:val="17D48D5D"/>
    <w:rsid w:val="17D8AF9D"/>
    <w:rsid w:val="17DD33B7"/>
    <w:rsid w:val="17EC0718"/>
    <w:rsid w:val="17EDB541"/>
    <w:rsid w:val="17F26B4F"/>
    <w:rsid w:val="1816C1C2"/>
    <w:rsid w:val="182CEF21"/>
    <w:rsid w:val="183CA263"/>
    <w:rsid w:val="18538629"/>
    <w:rsid w:val="18555F39"/>
    <w:rsid w:val="18559CA6"/>
    <w:rsid w:val="18585D83"/>
    <w:rsid w:val="185DB6C9"/>
    <w:rsid w:val="186D04FC"/>
    <w:rsid w:val="186FAA75"/>
    <w:rsid w:val="18756FC8"/>
    <w:rsid w:val="18835484"/>
    <w:rsid w:val="188CDC5B"/>
    <w:rsid w:val="1893EBB1"/>
    <w:rsid w:val="18A10607"/>
    <w:rsid w:val="18BDEEC0"/>
    <w:rsid w:val="18CA8C65"/>
    <w:rsid w:val="18D900E7"/>
    <w:rsid w:val="18E01A58"/>
    <w:rsid w:val="18E55A4C"/>
    <w:rsid w:val="18E5D89C"/>
    <w:rsid w:val="18F63082"/>
    <w:rsid w:val="19141DDE"/>
    <w:rsid w:val="19321AE0"/>
    <w:rsid w:val="194235EE"/>
    <w:rsid w:val="19533B56"/>
    <w:rsid w:val="19570651"/>
    <w:rsid w:val="196FD54E"/>
    <w:rsid w:val="19850663"/>
    <w:rsid w:val="198925AC"/>
    <w:rsid w:val="198F235C"/>
    <w:rsid w:val="19B69ADD"/>
    <w:rsid w:val="19C26216"/>
    <w:rsid w:val="1A06A567"/>
    <w:rsid w:val="1A466BBC"/>
    <w:rsid w:val="1A6FC0A9"/>
    <w:rsid w:val="1A78C9F8"/>
    <w:rsid w:val="1A948996"/>
    <w:rsid w:val="1AB56951"/>
    <w:rsid w:val="1AC284A5"/>
    <w:rsid w:val="1AE5AD42"/>
    <w:rsid w:val="1B0255E1"/>
    <w:rsid w:val="1B21F196"/>
    <w:rsid w:val="1B2832E6"/>
    <w:rsid w:val="1B49EE71"/>
    <w:rsid w:val="1B510400"/>
    <w:rsid w:val="1B5938BD"/>
    <w:rsid w:val="1B99EA91"/>
    <w:rsid w:val="1B9D37CD"/>
    <w:rsid w:val="1BB1B88C"/>
    <w:rsid w:val="1BB46775"/>
    <w:rsid w:val="1C12A8EA"/>
    <w:rsid w:val="1C2CD26E"/>
    <w:rsid w:val="1C31C7FA"/>
    <w:rsid w:val="1C4C39FB"/>
    <w:rsid w:val="1C93B296"/>
    <w:rsid w:val="1CB73DAA"/>
    <w:rsid w:val="1CC4F578"/>
    <w:rsid w:val="1CD989B3"/>
    <w:rsid w:val="1CDB9ABC"/>
    <w:rsid w:val="1CE0D2DB"/>
    <w:rsid w:val="1CE43ABC"/>
    <w:rsid w:val="1D07D7A9"/>
    <w:rsid w:val="1D0F438D"/>
    <w:rsid w:val="1D157171"/>
    <w:rsid w:val="1D4EFCFD"/>
    <w:rsid w:val="1D6B2EFC"/>
    <w:rsid w:val="1D8071C8"/>
    <w:rsid w:val="1D811762"/>
    <w:rsid w:val="1D8A9526"/>
    <w:rsid w:val="1D9F2FC6"/>
    <w:rsid w:val="1DA6A808"/>
    <w:rsid w:val="1DA9B77D"/>
    <w:rsid w:val="1DAAD812"/>
    <w:rsid w:val="1DB77472"/>
    <w:rsid w:val="1DBA4998"/>
    <w:rsid w:val="1DCA0EF5"/>
    <w:rsid w:val="1DEFD167"/>
    <w:rsid w:val="1E052968"/>
    <w:rsid w:val="1E0EA375"/>
    <w:rsid w:val="1E21CD8A"/>
    <w:rsid w:val="1E359C5E"/>
    <w:rsid w:val="1E36F5A2"/>
    <w:rsid w:val="1E4BB949"/>
    <w:rsid w:val="1E6CB9EE"/>
    <w:rsid w:val="1E6DECED"/>
    <w:rsid w:val="1E77BE5A"/>
    <w:rsid w:val="1E880B45"/>
    <w:rsid w:val="1E8B7053"/>
    <w:rsid w:val="1EA3F623"/>
    <w:rsid w:val="1EBC8B5E"/>
    <w:rsid w:val="1EC6F713"/>
    <w:rsid w:val="1EC8887D"/>
    <w:rsid w:val="1ECE47B4"/>
    <w:rsid w:val="1ED7A3D7"/>
    <w:rsid w:val="1EDB6AD3"/>
    <w:rsid w:val="1EF36F5D"/>
    <w:rsid w:val="1EFCEDF6"/>
    <w:rsid w:val="1F04F406"/>
    <w:rsid w:val="1F05E99C"/>
    <w:rsid w:val="1F12FD9F"/>
    <w:rsid w:val="1FA226FD"/>
    <w:rsid w:val="1FCC98A5"/>
    <w:rsid w:val="1FE74FE3"/>
    <w:rsid w:val="201E0EE7"/>
    <w:rsid w:val="2026EB08"/>
    <w:rsid w:val="204ADB66"/>
    <w:rsid w:val="204C9F23"/>
    <w:rsid w:val="2051B290"/>
    <w:rsid w:val="205956CE"/>
    <w:rsid w:val="205B7606"/>
    <w:rsid w:val="20771427"/>
    <w:rsid w:val="208F7D98"/>
    <w:rsid w:val="20922EDD"/>
    <w:rsid w:val="20A83ECB"/>
    <w:rsid w:val="20B69A43"/>
    <w:rsid w:val="20CDEC74"/>
    <w:rsid w:val="20DAAE7A"/>
    <w:rsid w:val="20EB3DAA"/>
    <w:rsid w:val="2106767E"/>
    <w:rsid w:val="2117C23F"/>
    <w:rsid w:val="21266AF3"/>
    <w:rsid w:val="2127FC79"/>
    <w:rsid w:val="212B2F3A"/>
    <w:rsid w:val="21442225"/>
    <w:rsid w:val="21452247"/>
    <w:rsid w:val="216AAE47"/>
    <w:rsid w:val="216ADEA0"/>
    <w:rsid w:val="216B9C5C"/>
    <w:rsid w:val="217C48ED"/>
    <w:rsid w:val="217D2CB7"/>
    <w:rsid w:val="21816FBC"/>
    <w:rsid w:val="218F06D4"/>
    <w:rsid w:val="218F324A"/>
    <w:rsid w:val="21962F8B"/>
    <w:rsid w:val="21A3E73E"/>
    <w:rsid w:val="21C00B42"/>
    <w:rsid w:val="21CB9C28"/>
    <w:rsid w:val="21CD57DE"/>
    <w:rsid w:val="21D09F6D"/>
    <w:rsid w:val="21D955E2"/>
    <w:rsid w:val="22021898"/>
    <w:rsid w:val="22130D61"/>
    <w:rsid w:val="221C3A4D"/>
    <w:rsid w:val="221E1E24"/>
    <w:rsid w:val="223629EF"/>
    <w:rsid w:val="223674BE"/>
    <w:rsid w:val="2238D861"/>
    <w:rsid w:val="2271B3EB"/>
    <w:rsid w:val="22962221"/>
    <w:rsid w:val="22B93B59"/>
    <w:rsid w:val="22C0C452"/>
    <w:rsid w:val="22C649C4"/>
    <w:rsid w:val="22CD2372"/>
    <w:rsid w:val="22CE0DF0"/>
    <w:rsid w:val="22CFD26B"/>
    <w:rsid w:val="22E10FD4"/>
    <w:rsid w:val="22FC3069"/>
    <w:rsid w:val="2317607B"/>
    <w:rsid w:val="2318AE35"/>
    <w:rsid w:val="2337E3B1"/>
    <w:rsid w:val="238AB34C"/>
    <w:rsid w:val="239CCCA9"/>
    <w:rsid w:val="23B818C7"/>
    <w:rsid w:val="23C772E3"/>
    <w:rsid w:val="23D9A027"/>
    <w:rsid w:val="23E492E8"/>
    <w:rsid w:val="23F0CCE9"/>
    <w:rsid w:val="2409F154"/>
    <w:rsid w:val="241C3EE5"/>
    <w:rsid w:val="2422B1C1"/>
    <w:rsid w:val="243F5CC6"/>
    <w:rsid w:val="24889594"/>
    <w:rsid w:val="24AAF436"/>
    <w:rsid w:val="24B2ED21"/>
    <w:rsid w:val="24DA597E"/>
    <w:rsid w:val="24DFD52E"/>
    <w:rsid w:val="24F1CCEB"/>
    <w:rsid w:val="251068CA"/>
    <w:rsid w:val="2516282C"/>
    <w:rsid w:val="252F4FA9"/>
    <w:rsid w:val="2554BDCF"/>
    <w:rsid w:val="2581CB3A"/>
    <w:rsid w:val="25A1BA64"/>
    <w:rsid w:val="25B3B652"/>
    <w:rsid w:val="260E0234"/>
    <w:rsid w:val="2623E08E"/>
    <w:rsid w:val="263B857E"/>
    <w:rsid w:val="2657A132"/>
    <w:rsid w:val="265D2D84"/>
    <w:rsid w:val="265F9CCA"/>
    <w:rsid w:val="2679BB0D"/>
    <w:rsid w:val="2680A69B"/>
    <w:rsid w:val="268EEBAF"/>
    <w:rsid w:val="2699977E"/>
    <w:rsid w:val="26A28E5C"/>
    <w:rsid w:val="26A87D69"/>
    <w:rsid w:val="26C2088D"/>
    <w:rsid w:val="26CAE69C"/>
    <w:rsid w:val="26D94D26"/>
    <w:rsid w:val="26DE7A73"/>
    <w:rsid w:val="26E38508"/>
    <w:rsid w:val="2703AED6"/>
    <w:rsid w:val="2718CD31"/>
    <w:rsid w:val="271A851E"/>
    <w:rsid w:val="2749D4BA"/>
    <w:rsid w:val="278B7F89"/>
    <w:rsid w:val="27965343"/>
    <w:rsid w:val="279C2891"/>
    <w:rsid w:val="27A6EFA2"/>
    <w:rsid w:val="27A7030B"/>
    <w:rsid w:val="27A98F55"/>
    <w:rsid w:val="27DD24D2"/>
    <w:rsid w:val="2807E2E4"/>
    <w:rsid w:val="2849E883"/>
    <w:rsid w:val="28605391"/>
    <w:rsid w:val="286724DE"/>
    <w:rsid w:val="286BE766"/>
    <w:rsid w:val="28996CB8"/>
    <w:rsid w:val="28B9790E"/>
    <w:rsid w:val="28D0E0B5"/>
    <w:rsid w:val="28F86946"/>
    <w:rsid w:val="291A92D8"/>
    <w:rsid w:val="292A2B4B"/>
    <w:rsid w:val="29312AB3"/>
    <w:rsid w:val="2954B6C4"/>
    <w:rsid w:val="297602EC"/>
    <w:rsid w:val="29A4CC75"/>
    <w:rsid w:val="29A90211"/>
    <w:rsid w:val="29B04731"/>
    <w:rsid w:val="29FDAE43"/>
    <w:rsid w:val="2A11F1A6"/>
    <w:rsid w:val="2A1B46A6"/>
    <w:rsid w:val="2A2C11CE"/>
    <w:rsid w:val="2A411EFF"/>
    <w:rsid w:val="2A4DF277"/>
    <w:rsid w:val="2A68425F"/>
    <w:rsid w:val="2A82CD97"/>
    <w:rsid w:val="2A837D42"/>
    <w:rsid w:val="2A8C45C1"/>
    <w:rsid w:val="2AAED9A7"/>
    <w:rsid w:val="2ABA16F3"/>
    <w:rsid w:val="2AC7F393"/>
    <w:rsid w:val="2AECBE3D"/>
    <w:rsid w:val="2B326452"/>
    <w:rsid w:val="2B3770B6"/>
    <w:rsid w:val="2B3FF80A"/>
    <w:rsid w:val="2B480999"/>
    <w:rsid w:val="2B5CB07F"/>
    <w:rsid w:val="2B66E691"/>
    <w:rsid w:val="2B8931A1"/>
    <w:rsid w:val="2BBD6C97"/>
    <w:rsid w:val="2BBDD79D"/>
    <w:rsid w:val="2BC3386B"/>
    <w:rsid w:val="2BDE31F1"/>
    <w:rsid w:val="2BFC2089"/>
    <w:rsid w:val="2C361435"/>
    <w:rsid w:val="2C541743"/>
    <w:rsid w:val="2C547B33"/>
    <w:rsid w:val="2C66218E"/>
    <w:rsid w:val="2C697877"/>
    <w:rsid w:val="2C6D58AA"/>
    <w:rsid w:val="2C75563A"/>
    <w:rsid w:val="2CA4057A"/>
    <w:rsid w:val="2CA46C76"/>
    <w:rsid w:val="2CC5D1D5"/>
    <w:rsid w:val="2CD41D8E"/>
    <w:rsid w:val="2CDC61BB"/>
    <w:rsid w:val="2CDDCB0D"/>
    <w:rsid w:val="2D013429"/>
    <w:rsid w:val="2D14ECC7"/>
    <w:rsid w:val="2D1B9CB1"/>
    <w:rsid w:val="2D2AD082"/>
    <w:rsid w:val="2D404BA4"/>
    <w:rsid w:val="2D4236CC"/>
    <w:rsid w:val="2D4753A0"/>
    <w:rsid w:val="2D4B052C"/>
    <w:rsid w:val="2D639F25"/>
    <w:rsid w:val="2D7D147A"/>
    <w:rsid w:val="2D8288A5"/>
    <w:rsid w:val="2D8C5886"/>
    <w:rsid w:val="2D9246FA"/>
    <w:rsid w:val="2D964B43"/>
    <w:rsid w:val="2D980212"/>
    <w:rsid w:val="2DB1AF92"/>
    <w:rsid w:val="2DBBB29C"/>
    <w:rsid w:val="2DF442CC"/>
    <w:rsid w:val="2DF47739"/>
    <w:rsid w:val="2E07A54D"/>
    <w:rsid w:val="2E43CB63"/>
    <w:rsid w:val="2E4484BD"/>
    <w:rsid w:val="2E4FD9F9"/>
    <w:rsid w:val="2E7B993B"/>
    <w:rsid w:val="2E9709DF"/>
    <w:rsid w:val="2E9A977F"/>
    <w:rsid w:val="2EA600A9"/>
    <w:rsid w:val="2EAFF080"/>
    <w:rsid w:val="2EB1F4F9"/>
    <w:rsid w:val="2EBB0E81"/>
    <w:rsid w:val="2ED4B403"/>
    <w:rsid w:val="2ED6F4F1"/>
    <w:rsid w:val="2EFB9E22"/>
    <w:rsid w:val="2F0DED65"/>
    <w:rsid w:val="2F2412E5"/>
    <w:rsid w:val="2F71CDE2"/>
    <w:rsid w:val="2F756277"/>
    <w:rsid w:val="2F8133D5"/>
    <w:rsid w:val="2F937F77"/>
    <w:rsid w:val="2F96ED06"/>
    <w:rsid w:val="2FBBBE50"/>
    <w:rsid w:val="2FC62B79"/>
    <w:rsid w:val="2FD86EF3"/>
    <w:rsid w:val="30074969"/>
    <w:rsid w:val="3009E322"/>
    <w:rsid w:val="300BDA8A"/>
    <w:rsid w:val="302295FF"/>
    <w:rsid w:val="302A853B"/>
    <w:rsid w:val="303EFB3F"/>
    <w:rsid w:val="30803478"/>
    <w:rsid w:val="3096A62A"/>
    <w:rsid w:val="309E6746"/>
    <w:rsid w:val="30A9AAE0"/>
    <w:rsid w:val="30BC757A"/>
    <w:rsid w:val="30BEC8ED"/>
    <w:rsid w:val="30D98E9C"/>
    <w:rsid w:val="30F8C250"/>
    <w:rsid w:val="31007E32"/>
    <w:rsid w:val="310B842C"/>
    <w:rsid w:val="31115506"/>
    <w:rsid w:val="311C2E54"/>
    <w:rsid w:val="3122C4F2"/>
    <w:rsid w:val="3135C1F8"/>
    <w:rsid w:val="315033BC"/>
    <w:rsid w:val="3167E504"/>
    <w:rsid w:val="3192C658"/>
    <w:rsid w:val="31A4E997"/>
    <w:rsid w:val="31B4316B"/>
    <w:rsid w:val="31B94D23"/>
    <w:rsid w:val="31F6F914"/>
    <w:rsid w:val="32160AD1"/>
    <w:rsid w:val="32164AE3"/>
    <w:rsid w:val="322F3025"/>
    <w:rsid w:val="3235C90E"/>
    <w:rsid w:val="32484F66"/>
    <w:rsid w:val="3259CF12"/>
    <w:rsid w:val="32876EA6"/>
    <w:rsid w:val="328B76C7"/>
    <w:rsid w:val="3290DB18"/>
    <w:rsid w:val="32AD58EA"/>
    <w:rsid w:val="32B32CC6"/>
    <w:rsid w:val="32F958DE"/>
    <w:rsid w:val="330759EF"/>
    <w:rsid w:val="33100E05"/>
    <w:rsid w:val="3312B380"/>
    <w:rsid w:val="3340609C"/>
    <w:rsid w:val="3341026C"/>
    <w:rsid w:val="337769CB"/>
    <w:rsid w:val="3385C7C8"/>
    <w:rsid w:val="339C90E6"/>
    <w:rsid w:val="33ADC8BE"/>
    <w:rsid w:val="33B41159"/>
    <w:rsid w:val="33BBB5C5"/>
    <w:rsid w:val="33BBFEA3"/>
    <w:rsid w:val="3417241D"/>
    <w:rsid w:val="3417F40B"/>
    <w:rsid w:val="343B97EE"/>
    <w:rsid w:val="34410DF4"/>
    <w:rsid w:val="3449AC38"/>
    <w:rsid w:val="345DB0DB"/>
    <w:rsid w:val="3465849D"/>
    <w:rsid w:val="3466D265"/>
    <w:rsid w:val="34AE5D44"/>
    <w:rsid w:val="34C0C156"/>
    <w:rsid w:val="34D8BACC"/>
    <w:rsid w:val="35084C91"/>
    <w:rsid w:val="35114057"/>
    <w:rsid w:val="35141529"/>
    <w:rsid w:val="35481972"/>
    <w:rsid w:val="35493391"/>
    <w:rsid w:val="35555DF8"/>
    <w:rsid w:val="35B3A03F"/>
    <w:rsid w:val="35EE980B"/>
    <w:rsid w:val="361271AA"/>
    <w:rsid w:val="361972EC"/>
    <w:rsid w:val="361CDEBD"/>
    <w:rsid w:val="3638C4C0"/>
    <w:rsid w:val="363CAC61"/>
    <w:rsid w:val="363EFF55"/>
    <w:rsid w:val="36568A63"/>
    <w:rsid w:val="365DA2FC"/>
    <w:rsid w:val="369D019B"/>
    <w:rsid w:val="36BC0CE8"/>
    <w:rsid w:val="36C03C03"/>
    <w:rsid w:val="36C29C8C"/>
    <w:rsid w:val="370D50EC"/>
    <w:rsid w:val="37115341"/>
    <w:rsid w:val="37166697"/>
    <w:rsid w:val="372850E1"/>
    <w:rsid w:val="3729E4EF"/>
    <w:rsid w:val="37302D09"/>
    <w:rsid w:val="37372E70"/>
    <w:rsid w:val="3744478E"/>
    <w:rsid w:val="3755F9C2"/>
    <w:rsid w:val="375D2BFA"/>
    <w:rsid w:val="377608E4"/>
    <w:rsid w:val="37892DF1"/>
    <w:rsid w:val="3791A793"/>
    <w:rsid w:val="37A426F9"/>
    <w:rsid w:val="37A7BA59"/>
    <w:rsid w:val="37C01597"/>
    <w:rsid w:val="37CD98B0"/>
    <w:rsid w:val="37D3E038"/>
    <w:rsid w:val="37E09AA0"/>
    <w:rsid w:val="37ED3034"/>
    <w:rsid w:val="37FEB502"/>
    <w:rsid w:val="38037116"/>
    <w:rsid w:val="38078FB4"/>
    <w:rsid w:val="388CD507"/>
    <w:rsid w:val="38904E58"/>
    <w:rsid w:val="389AEA16"/>
    <w:rsid w:val="38A8D5DF"/>
    <w:rsid w:val="38C1B2A2"/>
    <w:rsid w:val="38DA9902"/>
    <w:rsid w:val="38DC36E2"/>
    <w:rsid w:val="38F5A451"/>
    <w:rsid w:val="38F779C8"/>
    <w:rsid w:val="390873A5"/>
    <w:rsid w:val="39348169"/>
    <w:rsid w:val="393B932B"/>
    <w:rsid w:val="3944EC9E"/>
    <w:rsid w:val="39581910"/>
    <w:rsid w:val="395C1CF4"/>
    <w:rsid w:val="39612F09"/>
    <w:rsid w:val="39A2BBF8"/>
    <w:rsid w:val="39B36CA7"/>
    <w:rsid w:val="39DA0A8E"/>
    <w:rsid w:val="39E6B0FB"/>
    <w:rsid w:val="39EB383F"/>
    <w:rsid w:val="3A2EB510"/>
    <w:rsid w:val="3A50C267"/>
    <w:rsid w:val="3A57AD67"/>
    <w:rsid w:val="3A80471F"/>
    <w:rsid w:val="3A81BEAA"/>
    <w:rsid w:val="3A953674"/>
    <w:rsid w:val="3AACC0B6"/>
    <w:rsid w:val="3AB73426"/>
    <w:rsid w:val="3ADBD33A"/>
    <w:rsid w:val="3B110495"/>
    <w:rsid w:val="3B28767E"/>
    <w:rsid w:val="3B485160"/>
    <w:rsid w:val="3B5AEC32"/>
    <w:rsid w:val="3B63CA32"/>
    <w:rsid w:val="3B96C2B0"/>
    <w:rsid w:val="3BA3CD5C"/>
    <w:rsid w:val="3BB2D45F"/>
    <w:rsid w:val="3BD69D15"/>
    <w:rsid w:val="3BD9BB83"/>
    <w:rsid w:val="3BDBCABC"/>
    <w:rsid w:val="3BDFB151"/>
    <w:rsid w:val="3BFB025B"/>
    <w:rsid w:val="3C478EF8"/>
    <w:rsid w:val="3C570D93"/>
    <w:rsid w:val="3C575801"/>
    <w:rsid w:val="3C662495"/>
    <w:rsid w:val="3C88C33A"/>
    <w:rsid w:val="3C993DB6"/>
    <w:rsid w:val="3C9C462F"/>
    <w:rsid w:val="3CA372E7"/>
    <w:rsid w:val="3CB59E08"/>
    <w:rsid w:val="3D028934"/>
    <w:rsid w:val="3D065267"/>
    <w:rsid w:val="3D1367C6"/>
    <w:rsid w:val="3D2C4A44"/>
    <w:rsid w:val="3D369AF6"/>
    <w:rsid w:val="3D3BA66D"/>
    <w:rsid w:val="3D5C8A4C"/>
    <w:rsid w:val="3D787692"/>
    <w:rsid w:val="3DAB2A0F"/>
    <w:rsid w:val="3DB11E3E"/>
    <w:rsid w:val="3DCC92C9"/>
    <w:rsid w:val="3DCE1505"/>
    <w:rsid w:val="3DD00A80"/>
    <w:rsid w:val="3DD5FC63"/>
    <w:rsid w:val="3DEF248F"/>
    <w:rsid w:val="3E0D0F29"/>
    <w:rsid w:val="3E167FB4"/>
    <w:rsid w:val="3E2FE9B6"/>
    <w:rsid w:val="3E4C47D4"/>
    <w:rsid w:val="3E4F417A"/>
    <w:rsid w:val="3E531B46"/>
    <w:rsid w:val="3E5D7A0F"/>
    <w:rsid w:val="3E5F2C62"/>
    <w:rsid w:val="3E666BC9"/>
    <w:rsid w:val="3E702E29"/>
    <w:rsid w:val="3E81F24D"/>
    <w:rsid w:val="3E845B6A"/>
    <w:rsid w:val="3E8A68FF"/>
    <w:rsid w:val="3E9739A9"/>
    <w:rsid w:val="3E98766E"/>
    <w:rsid w:val="3EA79FBC"/>
    <w:rsid w:val="3EDB9E5A"/>
    <w:rsid w:val="3EDF9D59"/>
    <w:rsid w:val="3EE17D61"/>
    <w:rsid w:val="3EF89FCA"/>
    <w:rsid w:val="3F0F0613"/>
    <w:rsid w:val="3F2B3411"/>
    <w:rsid w:val="3F2DD1ED"/>
    <w:rsid w:val="3F4C0A1E"/>
    <w:rsid w:val="3F5E1C3B"/>
    <w:rsid w:val="3F9DC5D3"/>
    <w:rsid w:val="3FB0CF6E"/>
    <w:rsid w:val="3FCD8883"/>
    <w:rsid w:val="3FFC2662"/>
    <w:rsid w:val="3FFEA39F"/>
    <w:rsid w:val="4008DAB0"/>
    <w:rsid w:val="400B7780"/>
    <w:rsid w:val="40286C95"/>
    <w:rsid w:val="40416ED7"/>
    <w:rsid w:val="405070C3"/>
    <w:rsid w:val="405F9F32"/>
    <w:rsid w:val="4060DD62"/>
    <w:rsid w:val="407C26C1"/>
    <w:rsid w:val="409A4357"/>
    <w:rsid w:val="40A624ED"/>
    <w:rsid w:val="40B2F0A3"/>
    <w:rsid w:val="40CDDCD7"/>
    <w:rsid w:val="40DD1DAB"/>
    <w:rsid w:val="40E01F20"/>
    <w:rsid w:val="410061BC"/>
    <w:rsid w:val="410C1155"/>
    <w:rsid w:val="41150959"/>
    <w:rsid w:val="4119AFA1"/>
    <w:rsid w:val="411F1642"/>
    <w:rsid w:val="4147F11F"/>
    <w:rsid w:val="41730533"/>
    <w:rsid w:val="418DDC25"/>
    <w:rsid w:val="4192BD89"/>
    <w:rsid w:val="41B5DB74"/>
    <w:rsid w:val="41C934C7"/>
    <w:rsid w:val="41F8779D"/>
    <w:rsid w:val="4207D110"/>
    <w:rsid w:val="42162C90"/>
    <w:rsid w:val="4267D047"/>
    <w:rsid w:val="426A7721"/>
    <w:rsid w:val="426AFB6F"/>
    <w:rsid w:val="426F69C9"/>
    <w:rsid w:val="429151BB"/>
    <w:rsid w:val="42988984"/>
    <w:rsid w:val="42ACFCE7"/>
    <w:rsid w:val="42B67E6D"/>
    <w:rsid w:val="42BDEA6C"/>
    <w:rsid w:val="42DA1519"/>
    <w:rsid w:val="42E0D270"/>
    <w:rsid w:val="42E8AC39"/>
    <w:rsid w:val="42F68BC4"/>
    <w:rsid w:val="42F8ECC9"/>
    <w:rsid w:val="4304D54F"/>
    <w:rsid w:val="432630D2"/>
    <w:rsid w:val="434199EC"/>
    <w:rsid w:val="435D1CF4"/>
    <w:rsid w:val="43610D38"/>
    <w:rsid w:val="4361E2A4"/>
    <w:rsid w:val="43635EFA"/>
    <w:rsid w:val="436B1C34"/>
    <w:rsid w:val="43718975"/>
    <w:rsid w:val="437B97C5"/>
    <w:rsid w:val="43A1F8A2"/>
    <w:rsid w:val="43A639D8"/>
    <w:rsid w:val="43ABE865"/>
    <w:rsid w:val="43B37BF7"/>
    <w:rsid w:val="43C6536B"/>
    <w:rsid w:val="43D39BF1"/>
    <w:rsid w:val="43D4693C"/>
    <w:rsid w:val="43D9952E"/>
    <w:rsid w:val="43D9F600"/>
    <w:rsid w:val="43DB62EF"/>
    <w:rsid w:val="43E61474"/>
    <w:rsid w:val="43F74E04"/>
    <w:rsid w:val="440426E8"/>
    <w:rsid w:val="44311D12"/>
    <w:rsid w:val="44705601"/>
    <w:rsid w:val="44776ED5"/>
    <w:rsid w:val="44953F7A"/>
    <w:rsid w:val="4496F7F5"/>
    <w:rsid w:val="44979CEB"/>
    <w:rsid w:val="44B9D615"/>
    <w:rsid w:val="44C7A71F"/>
    <w:rsid w:val="44DF396E"/>
    <w:rsid w:val="44E798C4"/>
    <w:rsid w:val="44FD57F2"/>
    <w:rsid w:val="450D452D"/>
    <w:rsid w:val="451F75D9"/>
    <w:rsid w:val="4544C5FE"/>
    <w:rsid w:val="455290D5"/>
    <w:rsid w:val="4579AA6D"/>
    <w:rsid w:val="457FF73C"/>
    <w:rsid w:val="458B2749"/>
    <w:rsid w:val="458D8263"/>
    <w:rsid w:val="459F4F9B"/>
    <w:rsid w:val="45A631AF"/>
    <w:rsid w:val="45A6358C"/>
    <w:rsid w:val="45B2770E"/>
    <w:rsid w:val="45B628B6"/>
    <w:rsid w:val="45E0A251"/>
    <w:rsid w:val="45F53262"/>
    <w:rsid w:val="4612C8B1"/>
    <w:rsid w:val="461DAC22"/>
    <w:rsid w:val="46307FC0"/>
    <w:rsid w:val="46314ED4"/>
    <w:rsid w:val="464FA748"/>
    <w:rsid w:val="4654F2D0"/>
    <w:rsid w:val="4663D264"/>
    <w:rsid w:val="466D52E8"/>
    <w:rsid w:val="46773121"/>
    <w:rsid w:val="46915FFF"/>
    <w:rsid w:val="46AD6C4A"/>
    <w:rsid w:val="46BA0AEF"/>
    <w:rsid w:val="46F1F274"/>
    <w:rsid w:val="46FEBE54"/>
    <w:rsid w:val="47032DA0"/>
    <w:rsid w:val="47156E1F"/>
    <w:rsid w:val="4716293C"/>
    <w:rsid w:val="4726F46C"/>
    <w:rsid w:val="4736D1CD"/>
    <w:rsid w:val="47414F3F"/>
    <w:rsid w:val="474EAAED"/>
    <w:rsid w:val="4781642B"/>
    <w:rsid w:val="47987941"/>
    <w:rsid w:val="47AD905F"/>
    <w:rsid w:val="47B85165"/>
    <w:rsid w:val="47BE149B"/>
    <w:rsid w:val="47D1A873"/>
    <w:rsid w:val="47D500A0"/>
    <w:rsid w:val="47EF0AB3"/>
    <w:rsid w:val="47F9F80E"/>
    <w:rsid w:val="48178FD3"/>
    <w:rsid w:val="481862BE"/>
    <w:rsid w:val="481CEC01"/>
    <w:rsid w:val="481DC712"/>
    <w:rsid w:val="48270C6A"/>
    <w:rsid w:val="483AB8AA"/>
    <w:rsid w:val="48936CE9"/>
    <w:rsid w:val="489CE245"/>
    <w:rsid w:val="48A3CAD8"/>
    <w:rsid w:val="48A69A90"/>
    <w:rsid w:val="48C48B09"/>
    <w:rsid w:val="48D529C2"/>
    <w:rsid w:val="48DEFA8F"/>
    <w:rsid w:val="48E9A659"/>
    <w:rsid w:val="48FCFBCE"/>
    <w:rsid w:val="491B2982"/>
    <w:rsid w:val="491D114B"/>
    <w:rsid w:val="493094D4"/>
    <w:rsid w:val="49442256"/>
    <w:rsid w:val="4949B317"/>
    <w:rsid w:val="49549862"/>
    <w:rsid w:val="4967D0AA"/>
    <w:rsid w:val="4976E061"/>
    <w:rsid w:val="497ACAF2"/>
    <w:rsid w:val="4982A281"/>
    <w:rsid w:val="49B8D8E1"/>
    <w:rsid w:val="49C26562"/>
    <w:rsid w:val="49DAE0B7"/>
    <w:rsid w:val="49E9EAD7"/>
    <w:rsid w:val="4A32558B"/>
    <w:rsid w:val="4A48B4E5"/>
    <w:rsid w:val="4A52513A"/>
    <w:rsid w:val="4A5CEA04"/>
    <w:rsid w:val="4A74E114"/>
    <w:rsid w:val="4A993DF5"/>
    <w:rsid w:val="4AA0B70B"/>
    <w:rsid w:val="4AB29FBF"/>
    <w:rsid w:val="4AB8AB7C"/>
    <w:rsid w:val="4AD76B0B"/>
    <w:rsid w:val="4AD8803B"/>
    <w:rsid w:val="4AE816D5"/>
    <w:rsid w:val="4AFBBBF8"/>
    <w:rsid w:val="4AFD1ADB"/>
    <w:rsid w:val="4B09ACF5"/>
    <w:rsid w:val="4B1753CF"/>
    <w:rsid w:val="4B1F17D5"/>
    <w:rsid w:val="4B33B86E"/>
    <w:rsid w:val="4B62FF73"/>
    <w:rsid w:val="4B63C75E"/>
    <w:rsid w:val="4B63EEBC"/>
    <w:rsid w:val="4B663434"/>
    <w:rsid w:val="4B86E7BB"/>
    <w:rsid w:val="4B8F708C"/>
    <w:rsid w:val="4BB647C6"/>
    <w:rsid w:val="4BC88816"/>
    <w:rsid w:val="4BD8A8C1"/>
    <w:rsid w:val="4BDD406B"/>
    <w:rsid w:val="4BDEF3D1"/>
    <w:rsid w:val="4BF87EB8"/>
    <w:rsid w:val="4BFB092A"/>
    <w:rsid w:val="4C05617F"/>
    <w:rsid w:val="4C15AC98"/>
    <w:rsid w:val="4C3567FA"/>
    <w:rsid w:val="4C93BFCD"/>
    <w:rsid w:val="4C9CCC0C"/>
    <w:rsid w:val="4CA4A378"/>
    <w:rsid w:val="4CA68F3B"/>
    <w:rsid w:val="4CFB402D"/>
    <w:rsid w:val="4CFFEF09"/>
    <w:rsid w:val="4D0CE25C"/>
    <w:rsid w:val="4D0D968C"/>
    <w:rsid w:val="4D205BFA"/>
    <w:rsid w:val="4D2854F2"/>
    <w:rsid w:val="4D2C993E"/>
    <w:rsid w:val="4D438E32"/>
    <w:rsid w:val="4D60BD8D"/>
    <w:rsid w:val="4D619CAE"/>
    <w:rsid w:val="4D8A9DB8"/>
    <w:rsid w:val="4D8D2C0D"/>
    <w:rsid w:val="4DA3CFF6"/>
    <w:rsid w:val="4DE7A108"/>
    <w:rsid w:val="4DF84675"/>
    <w:rsid w:val="4E051BF9"/>
    <w:rsid w:val="4E3AAC05"/>
    <w:rsid w:val="4E3D6373"/>
    <w:rsid w:val="4E72229E"/>
    <w:rsid w:val="4E75C4DB"/>
    <w:rsid w:val="4E895C5D"/>
    <w:rsid w:val="4EA315A9"/>
    <w:rsid w:val="4EAD1EF4"/>
    <w:rsid w:val="4EB33A12"/>
    <w:rsid w:val="4EBB5E37"/>
    <w:rsid w:val="4EC13512"/>
    <w:rsid w:val="4EC7F76D"/>
    <w:rsid w:val="4EC83D56"/>
    <w:rsid w:val="4ED1D8D5"/>
    <w:rsid w:val="4EF62568"/>
    <w:rsid w:val="4F07565D"/>
    <w:rsid w:val="4F185028"/>
    <w:rsid w:val="4F368024"/>
    <w:rsid w:val="4F385E7A"/>
    <w:rsid w:val="4F3E5027"/>
    <w:rsid w:val="4F8F2166"/>
    <w:rsid w:val="4FC220B7"/>
    <w:rsid w:val="4FD1E09F"/>
    <w:rsid w:val="4FFA6A87"/>
    <w:rsid w:val="4FFC8D6F"/>
    <w:rsid w:val="501975FB"/>
    <w:rsid w:val="501F7F0F"/>
    <w:rsid w:val="5053592A"/>
    <w:rsid w:val="507082E7"/>
    <w:rsid w:val="50A82252"/>
    <w:rsid w:val="50C1DA39"/>
    <w:rsid w:val="50F5AEFE"/>
    <w:rsid w:val="50F850B1"/>
    <w:rsid w:val="5116293A"/>
    <w:rsid w:val="513AED6E"/>
    <w:rsid w:val="514827FE"/>
    <w:rsid w:val="5158CAF9"/>
    <w:rsid w:val="517C42C7"/>
    <w:rsid w:val="5187C017"/>
    <w:rsid w:val="519AAFE3"/>
    <w:rsid w:val="51B90735"/>
    <w:rsid w:val="51F27FEA"/>
    <w:rsid w:val="51FAF375"/>
    <w:rsid w:val="51FE7ABF"/>
    <w:rsid w:val="51FFB724"/>
    <w:rsid w:val="5204DE0F"/>
    <w:rsid w:val="52353942"/>
    <w:rsid w:val="524F7654"/>
    <w:rsid w:val="5265E2E0"/>
    <w:rsid w:val="5281B474"/>
    <w:rsid w:val="52849F61"/>
    <w:rsid w:val="528602F4"/>
    <w:rsid w:val="528B715E"/>
    <w:rsid w:val="528F926D"/>
    <w:rsid w:val="52994D90"/>
    <w:rsid w:val="52F343B8"/>
    <w:rsid w:val="53375988"/>
    <w:rsid w:val="533AA557"/>
    <w:rsid w:val="5340D316"/>
    <w:rsid w:val="5372E360"/>
    <w:rsid w:val="538367FA"/>
    <w:rsid w:val="5390B265"/>
    <w:rsid w:val="53C5D7ED"/>
    <w:rsid w:val="53D47459"/>
    <w:rsid w:val="53EAE626"/>
    <w:rsid w:val="5410F9D9"/>
    <w:rsid w:val="5419F3EB"/>
    <w:rsid w:val="541FF44F"/>
    <w:rsid w:val="5424BB8A"/>
    <w:rsid w:val="542C3D54"/>
    <w:rsid w:val="544CFABC"/>
    <w:rsid w:val="545F4F9B"/>
    <w:rsid w:val="54842F28"/>
    <w:rsid w:val="54903A7B"/>
    <w:rsid w:val="549E5588"/>
    <w:rsid w:val="549F0D4F"/>
    <w:rsid w:val="54A2E3CD"/>
    <w:rsid w:val="54AED41A"/>
    <w:rsid w:val="54C76D76"/>
    <w:rsid w:val="54D1DEBA"/>
    <w:rsid w:val="54F45666"/>
    <w:rsid w:val="54F463C9"/>
    <w:rsid w:val="54FB1D66"/>
    <w:rsid w:val="5539195E"/>
    <w:rsid w:val="5549AED1"/>
    <w:rsid w:val="555FE382"/>
    <w:rsid w:val="5562655F"/>
    <w:rsid w:val="556A532B"/>
    <w:rsid w:val="55AD9184"/>
    <w:rsid w:val="55BAA863"/>
    <w:rsid w:val="55BFEB6B"/>
    <w:rsid w:val="55CAE6DC"/>
    <w:rsid w:val="55E74A1A"/>
    <w:rsid w:val="5604234C"/>
    <w:rsid w:val="565A2326"/>
    <w:rsid w:val="566B810A"/>
    <w:rsid w:val="568754E0"/>
    <w:rsid w:val="56A1A975"/>
    <w:rsid w:val="56A380E8"/>
    <w:rsid w:val="56AC7692"/>
    <w:rsid w:val="56B1762C"/>
    <w:rsid w:val="56B97FAE"/>
    <w:rsid w:val="56BDD21F"/>
    <w:rsid w:val="56C38021"/>
    <w:rsid w:val="56CA33E4"/>
    <w:rsid w:val="56DABEF4"/>
    <w:rsid w:val="56E09A42"/>
    <w:rsid w:val="56E9243F"/>
    <w:rsid w:val="570C01A8"/>
    <w:rsid w:val="571A7041"/>
    <w:rsid w:val="5721DE7A"/>
    <w:rsid w:val="5729BE7E"/>
    <w:rsid w:val="573CF578"/>
    <w:rsid w:val="57A3FE5B"/>
    <w:rsid w:val="57C10F93"/>
    <w:rsid w:val="57D1C248"/>
    <w:rsid w:val="57D5D6C5"/>
    <w:rsid w:val="57D62EA7"/>
    <w:rsid w:val="57D7F1AB"/>
    <w:rsid w:val="57E77470"/>
    <w:rsid w:val="580641E9"/>
    <w:rsid w:val="584F9C22"/>
    <w:rsid w:val="58847DB5"/>
    <w:rsid w:val="5886CA6F"/>
    <w:rsid w:val="589136CD"/>
    <w:rsid w:val="5896FDE5"/>
    <w:rsid w:val="58A0F81B"/>
    <w:rsid w:val="58BB9435"/>
    <w:rsid w:val="58E0569F"/>
    <w:rsid w:val="58E2DB5D"/>
    <w:rsid w:val="58EE8282"/>
    <w:rsid w:val="58F9236C"/>
    <w:rsid w:val="592FC8B5"/>
    <w:rsid w:val="593F19D1"/>
    <w:rsid w:val="59596730"/>
    <w:rsid w:val="59599826"/>
    <w:rsid w:val="59A60B34"/>
    <w:rsid w:val="59D9AB32"/>
    <w:rsid w:val="5A08468E"/>
    <w:rsid w:val="5A0F9F2E"/>
    <w:rsid w:val="5A149FE3"/>
    <w:rsid w:val="5A232B0D"/>
    <w:rsid w:val="5A47395C"/>
    <w:rsid w:val="5A536459"/>
    <w:rsid w:val="5A5CFA49"/>
    <w:rsid w:val="5A656E89"/>
    <w:rsid w:val="5A6CCBE7"/>
    <w:rsid w:val="5A858880"/>
    <w:rsid w:val="5A9FBDC0"/>
    <w:rsid w:val="5AC4E09F"/>
    <w:rsid w:val="5AC55113"/>
    <w:rsid w:val="5AC8D6A7"/>
    <w:rsid w:val="5ACE51A7"/>
    <w:rsid w:val="5AD9C843"/>
    <w:rsid w:val="5ADBDF20"/>
    <w:rsid w:val="5AECBEF5"/>
    <w:rsid w:val="5AFC760A"/>
    <w:rsid w:val="5B037AC3"/>
    <w:rsid w:val="5B2229F1"/>
    <w:rsid w:val="5B2F5F96"/>
    <w:rsid w:val="5B3B2F84"/>
    <w:rsid w:val="5B4E560A"/>
    <w:rsid w:val="5B63C8EB"/>
    <w:rsid w:val="5B711880"/>
    <w:rsid w:val="5B95B067"/>
    <w:rsid w:val="5B983F2C"/>
    <w:rsid w:val="5BA668B4"/>
    <w:rsid w:val="5BB130A4"/>
    <w:rsid w:val="5C0934B1"/>
    <w:rsid w:val="5C0ECEB4"/>
    <w:rsid w:val="5C36BD16"/>
    <w:rsid w:val="5C4DF2DA"/>
    <w:rsid w:val="5C515916"/>
    <w:rsid w:val="5CA9CE4C"/>
    <w:rsid w:val="5CB1369C"/>
    <w:rsid w:val="5CD4F1D2"/>
    <w:rsid w:val="5CD8E16B"/>
    <w:rsid w:val="5D0652C1"/>
    <w:rsid w:val="5D0755E0"/>
    <w:rsid w:val="5D188BF8"/>
    <w:rsid w:val="5D3B93F8"/>
    <w:rsid w:val="5D6FD4AE"/>
    <w:rsid w:val="5D9113CB"/>
    <w:rsid w:val="5D9967F1"/>
    <w:rsid w:val="5D9F371E"/>
    <w:rsid w:val="5DABE50C"/>
    <w:rsid w:val="5DAC9099"/>
    <w:rsid w:val="5DCC6A14"/>
    <w:rsid w:val="5DE594B8"/>
    <w:rsid w:val="5DF67107"/>
    <w:rsid w:val="5E0E7D82"/>
    <w:rsid w:val="5E13809F"/>
    <w:rsid w:val="5E190361"/>
    <w:rsid w:val="5E245C0F"/>
    <w:rsid w:val="5E395BF6"/>
    <w:rsid w:val="5E445665"/>
    <w:rsid w:val="5E56629F"/>
    <w:rsid w:val="5E577DDF"/>
    <w:rsid w:val="5E5EE865"/>
    <w:rsid w:val="5E712693"/>
    <w:rsid w:val="5E778B21"/>
    <w:rsid w:val="5E8BA08C"/>
    <w:rsid w:val="5E975BB8"/>
    <w:rsid w:val="5EC1D06B"/>
    <w:rsid w:val="5EC80429"/>
    <w:rsid w:val="5EFB77C2"/>
    <w:rsid w:val="5F33F3E7"/>
    <w:rsid w:val="5F34B68C"/>
    <w:rsid w:val="5F3F11DB"/>
    <w:rsid w:val="5F54EAF4"/>
    <w:rsid w:val="5F81AE6F"/>
    <w:rsid w:val="5F8B27D4"/>
    <w:rsid w:val="5F903937"/>
    <w:rsid w:val="5F990C2E"/>
    <w:rsid w:val="5FBF5C4D"/>
    <w:rsid w:val="5FC93C01"/>
    <w:rsid w:val="5FD46990"/>
    <w:rsid w:val="5FDF90C1"/>
    <w:rsid w:val="5FF07E7F"/>
    <w:rsid w:val="600977B5"/>
    <w:rsid w:val="6031FA21"/>
    <w:rsid w:val="604076C8"/>
    <w:rsid w:val="604F72F9"/>
    <w:rsid w:val="607E3C93"/>
    <w:rsid w:val="60A23EC7"/>
    <w:rsid w:val="60B7CB5B"/>
    <w:rsid w:val="60C88263"/>
    <w:rsid w:val="60CFBED2"/>
    <w:rsid w:val="60E0B468"/>
    <w:rsid w:val="60EF7F8A"/>
    <w:rsid w:val="60F00F98"/>
    <w:rsid w:val="60F1181B"/>
    <w:rsid w:val="612083CE"/>
    <w:rsid w:val="614CFF79"/>
    <w:rsid w:val="6164E2CE"/>
    <w:rsid w:val="616943D0"/>
    <w:rsid w:val="61728D30"/>
    <w:rsid w:val="61734BD3"/>
    <w:rsid w:val="619BDF7E"/>
    <w:rsid w:val="61A789EE"/>
    <w:rsid w:val="61AA0DBD"/>
    <w:rsid w:val="61B1A84A"/>
    <w:rsid w:val="61DC72CA"/>
    <w:rsid w:val="61E32EF8"/>
    <w:rsid w:val="61F1CE00"/>
    <w:rsid w:val="61F700B5"/>
    <w:rsid w:val="61FE758E"/>
    <w:rsid w:val="621D63EE"/>
    <w:rsid w:val="622BEF57"/>
    <w:rsid w:val="6235D946"/>
    <w:rsid w:val="6241A799"/>
    <w:rsid w:val="62609369"/>
    <w:rsid w:val="62AF71B1"/>
    <w:rsid w:val="62B7D5B7"/>
    <w:rsid w:val="62CE7BD6"/>
    <w:rsid w:val="632075F9"/>
    <w:rsid w:val="63520F1B"/>
    <w:rsid w:val="636045E4"/>
    <w:rsid w:val="63634612"/>
    <w:rsid w:val="63825009"/>
    <w:rsid w:val="63E66472"/>
    <w:rsid w:val="63E9C703"/>
    <w:rsid w:val="6428DEEA"/>
    <w:rsid w:val="6460E371"/>
    <w:rsid w:val="6464DF24"/>
    <w:rsid w:val="64791C91"/>
    <w:rsid w:val="648FA7A2"/>
    <w:rsid w:val="64E713D8"/>
    <w:rsid w:val="64FBCF63"/>
    <w:rsid w:val="64FD2FDE"/>
    <w:rsid w:val="6521B66E"/>
    <w:rsid w:val="653D2E94"/>
    <w:rsid w:val="65401CA9"/>
    <w:rsid w:val="654CA1D7"/>
    <w:rsid w:val="65A98EFF"/>
    <w:rsid w:val="65CD62AE"/>
    <w:rsid w:val="65E3BD60"/>
    <w:rsid w:val="66321F76"/>
    <w:rsid w:val="66453E56"/>
    <w:rsid w:val="66523BA9"/>
    <w:rsid w:val="6655082E"/>
    <w:rsid w:val="66616F3A"/>
    <w:rsid w:val="6672FE07"/>
    <w:rsid w:val="667EF84B"/>
    <w:rsid w:val="66880012"/>
    <w:rsid w:val="66928B48"/>
    <w:rsid w:val="669771D6"/>
    <w:rsid w:val="66D0397B"/>
    <w:rsid w:val="66DED8C0"/>
    <w:rsid w:val="66F9E1CA"/>
    <w:rsid w:val="67044759"/>
    <w:rsid w:val="670B8409"/>
    <w:rsid w:val="67259D7C"/>
    <w:rsid w:val="672A19DA"/>
    <w:rsid w:val="67379608"/>
    <w:rsid w:val="6739E7A7"/>
    <w:rsid w:val="6743007B"/>
    <w:rsid w:val="674B9AEE"/>
    <w:rsid w:val="675C290F"/>
    <w:rsid w:val="675D22D7"/>
    <w:rsid w:val="677BCDEE"/>
    <w:rsid w:val="6790BA0A"/>
    <w:rsid w:val="67A406A8"/>
    <w:rsid w:val="67DD1C8A"/>
    <w:rsid w:val="67E186B9"/>
    <w:rsid w:val="67E85F9F"/>
    <w:rsid w:val="67F21423"/>
    <w:rsid w:val="67F295C8"/>
    <w:rsid w:val="67FF15FE"/>
    <w:rsid w:val="680825D1"/>
    <w:rsid w:val="681903BF"/>
    <w:rsid w:val="683B0278"/>
    <w:rsid w:val="684431B7"/>
    <w:rsid w:val="68454A4F"/>
    <w:rsid w:val="6870DE40"/>
    <w:rsid w:val="68710257"/>
    <w:rsid w:val="68B7EAEF"/>
    <w:rsid w:val="68C02E43"/>
    <w:rsid w:val="68C8C2A3"/>
    <w:rsid w:val="68D0B8D0"/>
    <w:rsid w:val="68D3B202"/>
    <w:rsid w:val="68DBD036"/>
    <w:rsid w:val="68FBB5DB"/>
    <w:rsid w:val="6932B449"/>
    <w:rsid w:val="69583827"/>
    <w:rsid w:val="6965244A"/>
    <w:rsid w:val="6969C365"/>
    <w:rsid w:val="696F5ED5"/>
    <w:rsid w:val="698BE492"/>
    <w:rsid w:val="69BE4254"/>
    <w:rsid w:val="69BF391A"/>
    <w:rsid w:val="69D3A053"/>
    <w:rsid w:val="69D64806"/>
    <w:rsid w:val="69E42873"/>
    <w:rsid w:val="69FCFD96"/>
    <w:rsid w:val="6A03F409"/>
    <w:rsid w:val="6A0C5814"/>
    <w:rsid w:val="6A1D7A2F"/>
    <w:rsid w:val="6A3EF667"/>
    <w:rsid w:val="6A45593F"/>
    <w:rsid w:val="6A51ED36"/>
    <w:rsid w:val="6A520269"/>
    <w:rsid w:val="6A522734"/>
    <w:rsid w:val="6A578C53"/>
    <w:rsid w:val="6A768C9E"/>
    <w:rsid w:val="6A8593F4"/>
    <w:rsid w:val="6A9080E6"/>
    <w:rsid w:val="6A933179"/>
    <w:rsid w:val="6AA38235"/>
    <w:rsid w:val="6AA6EF15"/>
    <w:rsid w:val="6AC96534"/>
    <w:rsid w:val="6ACF6553"/>
    <w:rsid w:val="6AEA4E4D"/>
    <w:rsid w:val="6B272B85"/>
    <w:rsid w:val="6B2DABAC"/>
    <w:rsid w:val="6B3D1A04"/>
    <w:rsid w:val="6B4C0BFE"/>
    <w:rsid w:val="6B4EE546"/>
    <w:rsid w:val="6B618627"/>
    <w:rsid w:val="6B6BEEED"/>
    <w:rsid w:val="6B7345D5"/>
    <w:rsid w:val="6B7B57FF"/>
    <w:rsid w:val="6B87A718"/>
    <w:rsid w:val="6BA22B92"/>
    <w:rsid w:val="6BB016F7"/>
    <w:rsid w:val="6BB1FFCC"/>
    <w:rsid w:val="6BF56483"/>
    <w:rsid w:val="6C1527DF"/>
    <w:rsid w:val="6C15F476"/>
    <w:rsid w:val="6C1EAD44"/>
    <w:rsid w:val="6C3DE0EF"/>
    <w:rsid w:val="6C4A1DDC"/>
    <w:rsid w:val="6C62E9B3"/>
    <w:rsid w:val="6C6E681F"/>
    <w:rsid w:val="6C737890"/>
    <w:rsid w:val="6C7DBCE3"/>
    <w:rsid w:val="6C87E559"/>
    <w:rsid w:val="6C8B5FF9"/>
    <w:rsid w:val="6C9C57D4"/>
    <w:rsid w:val="6C9DA5DE"/>
    <w:rsid w:val="6CAC197E"/>
    <w:rsid w:val="6CB51A8B"/>
    <w:rsid w:val="6CBCF3B9"/>
    <w:rsid w:val="6CD29AC9"/>
    <w:rsid w:val="6CF1E80E"/>
    <w:rsid w:val="6CF4C3B7"/>
    <w:rsid w:val="6D063866"/>
    <w:rsid w:val="6D063947"/>
    <w:rsid w:val="6D1011A7"/>
    <w:rsid w:val="6D5A6B9D"/>
    <w:rsid w:val="6D5E3BDD"/>
    <w:rsid w:val="6D65AACC"/>
    <w:rsid w:val="6D6C6223"/>
    <w:rsid w:val="6D79EB3B"/>
    <w:rsid w:val="6D870408"/>
    <w:rsid w:val="6D96D499"/>
    <w:rsid w:val="6DA953C7"/>
    <w:rsid w:val="6DABE081"/>
    <w:rsid w:val="6DC15CFD"/>
    <w:rsid w:val="6DDE453C"/>
    <w:rsid w:val="6DE987F0"/>
    <w:rsid w:val="6E19B41A"/>
    <w:rsid w:val="6E267796"/>
    <w:rsid w:val="6E278C9E"/>
    <w:rsid w:val="6E4989AF"/>
    <w:rsid w:val="6E4DC0F1"/>
    <w:rsid w:val="6E531946"/>
    <w:rsid w:val="6E5B7548"/>
    <w:rsid w:val="6E644BA1"/>
    <w:rsid w:val="6E64F4EC"/>
    <w:rsid w:val="6E6924BE"/>
    <w:rsid w:val="6E7B1A56"/>
    <w:rsid w:val="6E986EC0"/>
    <w:rsid w:val="6E99220D"/>
    <w:rsid w:val="6EA3389C"/>
    <w:rsid w:val="6EAE1F5D"/>
    <w:rsid w:val="6ECEBF90"/>
    <w:rsid w:val="6EFD11EA"/>
    <w:rsid w:val="6F0EF400"/>
    <w:rsid w:val="6F289927"/>
    <w:rsid w:val="6F501932"/>
    <w:rsid w:val="6F5887B1"/>
    <w:rsid w:val="6F5F77BF"/>
    <w:rsid w:val="6F82C67D"/>
    <w:rsid w:val="6F83ADB5"/>
    <w:rsid w:val="6F841437"/>
    <w:rsid w:val="6FAB5353"/>
    <w:rsid w:val="6FB30AE1"/>
    <w:rsid w:val="6FB7FE0A"/>
    <w:rsid w:val="6FBEBDAA"/>
    <w:rsid w:val="6FCAEEF2"/>
    <w:rsid w:val="6FD4D11E"/>
    <w:rsid w:val="6FD4F7AF"/>
    <w:rsid w:val="6FEAAE0F"/>
    <w:rsid w:val="6FEF912B"/>
    <w:rsid w:val="6FF72938"/>
    <w:rsid w:val="700A95D3"/>
    <w:rsid w:val="70197637"/>
    <w:rsid w:val="701F12BD"/>
    <w:rsid w:val="702B8FE6"/>
    <w:rsid w:val="705A19F4"/>
    <w:rsid w:val="705C7CB9"/>
    <w:rsid w:val="7061FA2B"/>
    <w:rsid w:val="706CE3D7"/>
    <w:rsid w:val="7086BC9B"/>
    <w:rsid w:val="7093C078"/>
    <w:rsid w:val="709B152B"/>
    <w:rsid w:val="70A77766"/>
    <w:rsid w:val="70CC24BC"/>
    <w:rsid w:val="70D96AA5"/>
    <w:rsid w:val="70F9AFBC"/>
    <w:rsid w:val="70FC801D"/>
    <w:rsid w:val="7120495B"/>
    <w:rsid w:val="712DD917"/>
    <w:rsid w:val="7137A95B"/>
    <w:rsid w:val="7150553F"/>
    <w:rsid w:val="715E2013"/>
    <w:rsid w:val="7166E231"/>
    <w:rsid w:val="716EC793"/>
    <w:rsid w:val="7175BDDD"/>
    <w:rsid w:val="71E3E6DD"/>
    <w:rsid w:val="7203EE19"/>
    <w:rsid w:val="72258CC0"/>
    <w:rsid w:val="7235FDDF"/>
    <w:rsid w:val="7237A347"/>
    <w:rsid w:val="724C8CF5"/>
    <w:rsid w:val="727BA22F"/>
    <w:rsid w:val="727DC53E"/>
    <w:rsid w:val="728989BD"/>
    <w:rsid w:val="7296D391"/>
    <w:rsid w:val="72A040B8"/>
    <w:rsid w:val="72A6D87C"/>
    <w:rsid w:val="72B23312"/>
    <w:rsid w:val="72ED73D4"/>
    <w:rsid w:val="72FB40CF"/>
    <w:rsid w:val="73015A52"/>
    <w:rsid w:val="7315561B"/>
    <w:rsid w:val="733DEAD3"/>
    <w:rsid w:val="734F4BE9"/>
    <w:rsid w:val="7358033B"/>
    <w:rsid w:val="73583F0D"/>
    <w:rsid w:val="73683041"/>
    <w:rsid w:val="7372D363"/>
    <w:rsid w:val="737C9AD7"/>
    <w:rsid w:val="7380F10D"/>
    <w:rsid w:val="73B22D0A"/>
    <w:rsid w:val="73B76BF1"/>
    <w:rsid w:val="73BCAE0F"/>
    <w:rsid w:val="73E8B48D"/>
    <w:rsid w:val="740E2F92"/>
    <w:rsid w:val="7436BBC5"/>
    <w:rsid w:val="74460AA2"/>
    <w:rsid w:val="74491050"/>
    <w:rsid w:val="745FCD01"/>
    <w:rsid w:val="7475594C"/>
    <w:rsid w:val="7476E690"/>
    <w:rsid w:val="7478BDD5"/>
    <w:rsid w:val="7486B8D6"/>
    <w:rsid w:val="748B32FB"/>
    <w:rsid w:val="748ECFF4"/>
    <w:rsid w:val="74913724"/>
    <w:rsid w:val="749BD431"/>
    <w:rsid w:val="74ADBCCB"/>
    <w:rsid w:val="74B52D0C"/>
    <w:rsid w:val="74B533FC"/>
    <w:rsid w:val="74B76C31"/>
    <w:rsid w:val="74CCD351"/>
    <w:rsid w:val="74D81B96"/>
    <w:rsid w:val="74DBD815"/>
    <w:rsid w:val="74DF2437"/>
    <w:rsid w:val="74E1BAF9"/>
    <w:rsid w:val="755252EA"/>
    <w:rsid w:val="755ECBA6"/>
    <w:rsid w:val="75663F3E"/>
    <w:rsid w:val="75697E6F"/>
    <w:rsid w:val="7576D8E1"/>
    <w:rsid w:val="758BDB93"/>
    <w:rsid w:val="759294B1"/>
    <w:rsid w:val="759C999B"/>
    <w:rsid w:val="75AB3432"/>
    <w:rsid w:val="75B8B840"/>
    <w:rsid w:val="75CE749D"/>
    <w:rsid w:val="763911C5"/>
    <w:rsid w:val="7653769E"/>
    <w:rsid w:val="76550993"/>
    <w:rsid w:val="7656D264"/>
    <w:rsid w:val="7666A1DE"/>
    <w:rsid w:val="769B177D"/>
    <w:rsid w:val="76D40833"/>
    <w:rsid w:val="76DE22C1"/>
    <w:rsid w:val="771651FE"/>
    <w:rsid w:val="7726479D"/>
    <w:rsid w:val="7736FDB5"/>
    <w:rsid w:val="773DE4D7"/>
    <w:rsid w:val="779ECFDC"/>
    <w:rsid w:val="77A3ACEA"/>
    <w:rsid w:val="77BB6124"/>
    <w:rsid w:val="77C47E32"/>
    <w:rsid w:val="77DAC644"/>
    <w:rsid w:val="77E0EE66"/>
    <w:rsid w:val="7806D03D"/>
    <w:rsid w:val="78196070"/>
    <w:rsid w:val="783EC45D"/>
    <w:rsid w:val="784F4D42"/>
    <w:rsid w:val="78546C7B"/>
    <w:rsid w:val="785E8854"/>
    <w:rsid w:val="7867E0C6"/>
    <w:rsid w:val="78856B57"/>
    <w:rsid w:val="78935061"/>
    <w:rsid w:val="78A121A7"/>
    <w:rsid w:val="78A9BB22"/>
    <w:rsid w:val="78ABC53D"/>
    <w:rsid w:val="78BC84D6"/>
    <w:rsid w:val="78CAE7F4"/>
    <w:rsid w:val="78E2FF9A"/>
    <w:rsid w:val="79136511"/>
    <w:rsid w:val="79139461"/>
    <w:rsid w:val="7915E59D"/>
    <w:rsid w:val="7919F44A"/>
    <w:rsid w:val="79234E7F"/>
    <w:rsid w:val="7937C71E"/>
    <w:rsid w:val="79465E0B"/>
    <w:rsid w:val="79552FE9"/>
    <w:rsid w:val="795C204B"/>
    <w:rsid w:val="79612053"/>
    <w:rsid w:val="79732098"/>
    <w:rsid w:val="79899348"/>
    <w:rsid w:val="79AC827C"/>
    <w:rsid w:val="79C78FA3"/>
    <w:rsid w:val="79C99CC1"/>
    <w:rsid w:val="7A0DEFE9"/>
    <w:rsid w:val="7A4E9C5C"/>
    <w:rsid w:val="7A558E42"/>
    <w:rsid w:val="7A983D28"/>
    <w:rsid w:val="7ABBC2E2"/>
    <w:rsid w:val="7AF0BE6A"/>
    <w:rsid w:val="7AF81D7E"/>
    <w:rsid w:val="7B1A70F2"/>
    <w:rsid w:val="7B399793"/>
    <w:rsid w:val="7B4CBF7C"/>
    <w:rsid w:val="7B713907"/>
    <w:rsid w:val="7B791610"/>
    <w:rsid w:val="7B869C26"/>
    <w:rsid w:val="7B9AA98E"/>
    <w:rsid w:val="7BAADED2"/>
    <w:rsid w:val="7BACA6A0"/>
    <w:rsid w:val="7BCFB0D8"/>
    <w:rsid w:val="7BFBAC55"/>
    <w:rsid w:val="7BFE405E"/>
    <w:rsid w:val="7C119793"/>
    <w:rsid w:val="7C25D453"/>
    <w:rsid w:val="7C2CB97B"/>
    <w:rsid w:val="7C2DDCEF"/>
    <w:rsid w:val="7C3B8DB0"/>
    <w:rsid w:val="7C6103B8"/>
    <w:rsid w:val="7C74E090"/>
    <w:rsid w:val="7C787F2D"/>
    <w:rsid w:val="7C7894F1"/>
    <w:rsid w:val="7C831FBB"/>
    <w:rsid w:val="7C86CA98"/>
    <w:rsid w:val="7CA34606"/>
    <w:rsid w:val="7CBB74F8"/>
    <w:rsid w:val="7CD75F69"/>
    <w:rsid w:val="7CE6C378"/>
    <w:rsid w:val="7CF3F08B"/>
    <w:rsid w:val="7CFC3471"/>
    <w:rsid w:val="7D028148"/>
    <w:rsid w:val="7D0C292C"/>
    <w:rsid w:val="7D152207"/>
    <w:rsid w:val="7D1F12AC"/>
    <w:rsid w:val="7D362306"/>
    <w:rsid w:val="7D3891DC"/>
    <w:rsid w:val="7D50FA4C"/>
    <w:rsid w:val="7D679EF1"/>
    <w:rsid w:val="7D72F843"/>
    <w:rsid w:val="7D7A0246"/>
    <w:rsid w:val="7DB5406E"/>
    <w:rsid w:val="7DBCE9E5"/>
    <w:rsid w:val="7E0AB771"/>
    <w:rsid w:val="7E1618FA"/>
    <w:rsid w:val="7E4C3B9E"/>
    <w:rsid w:val="7E677DC0"/>
    <w:rsid w:val="7E7489E4"/>
    <w:rsid w:val="7EA6381C"/>
    <w:rsid w:val="7EB1D5B9"/>
    <w:rsid w:val="7EC87524"/>
    <w:rsid w:val="7EDA5C8B"/>
    <w:rsid w:val="7EF317F5"/>
    <w:rsid w:val="7EFA04B9"/>
    <w:rsid w:val="7EFC95E0"/>
    <w:rsid w:val="7F28568F"/>
    <w:rsid w:val="7F3AB22C"/>
    <w:rsid w:val="7F3BD541"/>
    <w:rsid w:val="7F497E24"/>
    <w:rsid w:val="7F55FE16"/>
    <w:rsid w:val="7F7FE214"/>
    <w:rsid w:val="7F86C102"/>
    <w:rsid w:val="7FA25BC5"/>
    <w:rsid w:val="7FAB67BA"/>
    <w:rsid w:val="7FDEA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95CDF"/>
  <w15:chartTrackingRefBased/>
  <w15:docId w15:val="{F7C1385C-2379-4139-AFFC-0774CAD2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B1"/>
    <w:pPr>
      <w:spacing w:line="259" w:lineRule="auto"/>
    </w:pPr>
    <w:rPr>
      <w:rFonts w:ascii="Source Sans Pro Light" w:hAnsi="Source Sans Pro Light" w:cstheme="majorHAnsi"/>
      <w:sz w:val="22"/>
      <w:szCs w:val="22"/>
    </w:rPr>
  </w:style>
  <w:style w:type="paragraph" w:styleId="Heading1">
    <w:name w:val="heading 1"/>
    <w:basedOn w:val="Normal"/>
    <w:next w:val="Normal"/>
    <w:link w:val="Heading1Char"/>
    <w:uiPriority w:val="9"/>
    <w:qFormat/>
    <w:rsid w:val="006448F4"/>
    <w:pPr>
      <w:keepNext/>
      <w:keepLines/>
      <w:spacing w:before="360" w:after="80"/>
      <w:outlineLvl w:val="0"/>
    </w:pPr>
    <w:rPr>
      <w:rFonts w:asciiTheme="majorHAnsi" w:eastAsia="Calibri"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27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575FF"/>
    <w:pPr>
      <w:keepNext/>
      <w:keepLines/>
      <w:spacing w:before="160" w:after="80"/>
      <w:outlineLvl w:val="2"/>
    </w:pPr>
    <w:rPr>
      <w:rFonts w:eastAsiaTheme="majorEastAsia" w:cs="Times New Roman (Headings CS)"/>
      <w:i/>
      <w:color w:val="0F4761" w:themeColor="accent1" w:themeShade="BF"/>
      <w:sz w:val="26"/>
      <w:szCs w:val="28"/>
      <w:u w:val="single"/>
    </w:rPr>
  </w:style>
  <w:style w:type="paragraph" w:styleId="Heading4">
    <w:name w:val="heading 4"/>
    <w:basedOn w:val="Normal"/>
    <w:next w:val="Normal"/>
    <w:link w:val="Heading4Char"/>
    <w:uiPriority w:val="9"/>
    <w:unhideWhenUsed/>
    <w:qFormat/>
    <w:rsid w:val="002953A3"/>
    <w:pPr>
      <w:keepNext/>
      <w:keepLines/>
      <w:spacing w:before="80" w:after="40"/>
      <w:ind w:left="36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027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27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7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7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7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8F4"/>
    <w:rPr>
      <w:rFonts w:asciiTheme="majorHAnsi" w:eastAsia="Calibri"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27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575FF"/>
    <w:rPr>
      <w:rFonts w:ascii="Source Sans Pro Light" w:eastAsiaTheme="majorEastAsia" w:hAnsi="Source Sans Pro Light" w:cs="Times New Roman (Headings CS)"/>
      <w:i/>
      <w:color w:val="0F4761" w:themeColor="accent1" w:themeShade="BF"/>
      <w:sz w:val="26"/>
      <w:szCs w:val="28"/>
      <w:u w:val="single"/>
    </w:rPr>
  </w:style>
  <w:style w:type="character" w:customStyle="1" w:styleId="Heading4Char">
    <w:name w:val="Heading 4 Char"/>
    <w:basedOn w:val="DefaultParagraphFont"/>
    <w:link w:val="Heading4"/>
    <w:uiPriority w:val="9"/>
    <w:rsid w:val="002953A3"/>
    <w:rPr>
      <w:rFonts w:ascii="Source Sans Pro Light" w:eastAsiaTheme="majorEastAsia" w:hAnsi="Source Sans Pro Light" w:cstheme="majorBidi"/>
      <w:i/>
      <w:iCs/>
      <w:color w:val="0F4761" w:themeColor="accent1" w:themeShade="BF"/>
      <w:sz w:val="22"/>
      <w:szCs w:val="22"/>
    </w:rPr>
  </w:style>
  <w:style w:type="character" w:customStyle="1" w:styleId="Heading5Char">
    <w:name w:val="Heading 5 Char"/>
    <w:basedOn w:val="DefaultParagraphFont"/>
    <w:link w:val="Heading5"/>
    <w:uiPriority w:val="9"/>
    <w:rsid w:val="008027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27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7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7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77C"/>
    <w:rPr>
      <w:rFonts w:eastAsiaTheme="majorEastAsia" w:cstheme="majorBidi"/>
      <w:color w:val="272727" w:themeColor="text1" w:themeTint="D8"/>
    </w:rPr>
  </w:style>
  <w:style w:type="paragraph" w:styleId="Title">
    <w:name w:val="Title"/>
    <w:basedOn w:val="Normal"/>
    <w:next w:val="Normal"/>
    <w:link w:val="TitleChar"/>
    <w:uiPriority w:val="10"/>
    <w:qFormat/>
    <w:rsid w:val="008027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7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7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27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277C"/>
    <w:pPr>
      <w:spacing w:before="160"/>
      <w:jc w:val="center"/>
    </w:pPr>
    <w:rPr>
      <w:i/>
      <w:iCs/>
      <w:color w:val="404040" w:themeColor="text1" w:themeTint="BF"/>
    </w:rPr>
  </w:style>
  <w:style w:type="character" w:customStyle="1" w:styleId="QuoteChar">
    <w:name w:val="Quote Char"/>
    <w:basedOn w:val="DefaultParagraphFont"/>
    <w:link w:val="Quote"/>
    <w:uiPriority w:val="29"/>
    <w:rsid w:val="0080277C"/>
    <w:rPr>
      <w:i/>
      <w:iCs/>
      <w:color w:val="404040" w:themeColor="text1" w:themeTint="BF"/>
    </w:rPr>
  </w:style>
  <w:style w:type="paragraph" w:styleId="ListParagraph">
    <w:name w:val="List Paragraph"/>
    <w:basedOn w:val="Normal"/>
    <w:uiPriority w:val="34"/>
    <w:qFormat/>
    <w:rsid w:val="0080277C"/>
    <w:pPr>
      <w:ind w:left="720"/>
      <w:contextualSpacing/>
    </w:pPr>
  </w:style>
  <w:style w:type="character" w:styleId="IntenseEmphasis">
    <w:name w:val="Intense Emphasis"/>
    <w:basedOn w:val="DefaultParagraphFont"/>
    <w:uiPriority w:val="21"/>
    <w:qFormat/>
    <w:rsid w:val="0080277C"/>
    <w:rPr>
      <w:i/>
      <w:iCs/>
      <w:color w:val="0F4761" w:themeColor="accent1" w:themeShade="BF"/>
    </w:rPr>
  </w:style>
  <w:style w:type="paragraph" w:styleId="IntenseQuote">
    <w:name w:val="Intense Quote"/>
    <w:basedOn w:val="Normal"/>
    <w:next w:val="Normal"/>
    <w:link w:val="IntenseQuoteChar"/>
    <w:uiPriority w:val="30"/>
    <w:qFormat/>
    <w:rsid w:val="008027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277C"/>
    <w:rPr>
      <w:i/>
      <w:iCs/>
      <w:color w:val="0F4761" w:themeColor="accent1" w:themeShade="BF"/>
    </w:rPr>
  </w:style>
  <w:style w:type="character" w:styleId="IntenseReference">
    <w:name w:val="Intense Reference"/>
    <w:basedOn w:val="DefaultParagraphFont"/>
    <w:uiPriority w:val="32"/>
    <w:qFormat/>
    <w:rsid w:val="0080277C"/>
    <w:rPr>
      <w:b/>
      <w:bCs/>
      <w:smallCaps/>
      <w:color w:val="0F4761" w:themeColor="accent1" w:themeShade="BF"/>
      <w:spacing w:val="5"/>
    </w:rPr>
  </w:style>
  <w:style w:type="character" w:styleId="CommentReference">
    <w:name w:val="annotation reference"/>
    <w:basedOn w:val="DefaultParagraphFont"/>
    <w:uiPriority w:val="99"/>
    <w:semiHidden/>
    <w:unhideWhenUsed/>
    <w:rsid w:val="004C179F"/>
    <w:rPr>
      <w:sz w:val="16"/>
      <w:szCs w:val="16"/>
    </w:rPr>
  </w:style>
  <w:style w:type="paragraph" w:styleId="CommentText">
    <w:name w:val="annotation text"/>
    <w:basedOn w:val="Normal"/>
    <w:link w:val="CommentTextChar"/>
    <w:uiPriority w:val="99"/>
    <w:unhideWhenUsed/>
    <w:rsid w:val="004C179F"/>
    <w:pPr>
      <w:spacing w:line="240" w:lineRule="auto"/>
      <w:ind w:left="360"/>
    </w:pPr>
    <w:rPr>
      <w:kern w:val="0"/>
      <w:sz w:val="20"/>
      <w:szCs w:val="20"/>
      <w:lang w:val="en-CA" w:eastAsia="en-CA"/>
      <w14:ligatures w14:val="none"/>
    </w:rPr>
  </w:style>
  <w:style w:type="character" w:customStyle="1" w:styleId="CommentTextChar">
    <w:name w:val="Comment Text Char"/>
    <w:basedOn w:val="DefaultParagraphFont"/>
    <w:link w:val="CommentText"/>
    <w:uiPriority w:val="99"/>
    <w:rsid w:val="004C179F"/>
    <w:rPr>
      <w:rFonts w:ascii="Source Sans Pro Light" w:hAnsi="Source Sans Pro Light"/>
      <w:kern w:val="0"/>
      <w:sz w:val="20"/>
      <w:szCs w:val="20"/>
      <w:lang w:val="en-CA" w:eastAsia="en-CA"/>
      <w14:ligatures w14:val="none"/>
    </w:rPr>
  </w:style>
  <w:style w:type="paragraph" w:styleId="FootnoteText">
    <w:name w:val="footnote text"/>
    <w:basedOn w:val="Normal"/>
    <w:link w:val="FootnoteTextChar"/>
    <w:uiPriority w:val="99"/>
    <w:semiHidden/>
    <w:unhideWhenUsed/>
    <w:rsid w:val="002F2BD1"/>
    <w:pPr>
      <w:spacing w:after="0" w:line="240" w:lineRule="auto"/>
      <w:ind w:left="360"/>
    </w:pPr>
    <w:rPr>
      <w:kern w:val="0"/>
      <w:sz w:val="20"/>
      <w:szCs w:val="20"/>
      <w:lang w:val="en-CA" w:eastAsia="en-CA"/>
      <w14:ligatures w14:val="none"/>
    </w:rPr>
  </w:style>
  <w:style w:type="character" w:customStyle="1" w:styleId="FootnoteTextChar">
    <w:name w:val="Footnote Text Char"/>
    <w:basedOn w:val="DefaultParagraphFont"/>
    <w:link w:val="FootnoteText"/>
    <w:uiPriority w:val="99"/>
    <w:semiHidden/>
    <w:rsid w:val="002F2BD1"/>
    <w:rPr>
      <w:rFonts w:ascii="Source Sans Pro Light" w:hAnsi="Source Sans Pro Light"/>
      <w:kern w:val="0"/>
      <w:sz w:val="20"/>
      <w:szCs w:val="20"/>
      <w:lang w:val="en-CA" w:eastAsia="en-CA"/>
      <w14:ligatures w14:val="none"/>
    </w:rPr>
  </w:style>
  <w:style w:type="character" w:styleId="FootnoteReference">
    <w:name w:val="footnote reference"/>
    <w:basedOn w:val="DefaultParagraphFont"/>
    <w:uiPriority w:val="99"/>
    <w:semiHidden/>
    <w:unhideWhenUsed/>
    <w:rsid w:val="00997675"/>
    <w:rPr>
      <w:vertAlign w:val="superscript"/>
    </w:rPr>
  </w:style>
  <w:style w:type="character" w:styleId="Hyperlink">
    <w:name w:val="Hyperlink"/>
    <w:basedOn w:val="DefaultParagraphFont"/>
    <w:uiPriority w:val="99"/>
    <w:unhideWhenUsed/>
    <w:rsid w:val="00441CBE"/>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A221C4"/>
    <w:pPr>
      <w:ind w:left="0"/>
    </w:pPr>
    <w:rPr>
      <w:rFonts w:asciiTheme="minorHAnsi" w:hAnsiTheme="minorHAnsi"/>
      <w:b/>
      <w:bCs/>
      <w:kern w:val="2"/>
      <w:lang w:val="en-US" w:eastAsia="en-US"/>
      <w14:ligatures w14:val="standardContextual"/>
    </w:rPr>
  </w:style>
  <w:style w:type="character" w:customStyle="1" w:styleId="CommentSubjectChar">
    <w:name w:val="Comment Subject Char"/>
    <w:basedOn w:val="CommentTextChar"/>
    <w:link w:val="CommentSubject"/>
    <w:uiPriority w:val="99"/>
    <w:semiHidden/>
    <w:rsid w:val="00A221C4"/>
    <w:rPr>
      <w:rFonts w:ascii="Source Sans Pro Light" w:hAnsi="Source Sans Pro Light"/>
      <w:b/>
      <w:bCs/>
      <w:kern w:val="0"/>
      <w:sz w:val="20"/>
      <w:szCs w:val="20"/>
      <w:lang w:val="en-CA" w:eastAsia="en-CA"/>
      <w14:ligatures w14:val="none"/>
    </w:rPr>
  </w:style>
  <w:style w:type="character" w:styleId="UnresolvedMention">
    <w:name w:val="Unresolved Mention"/>
    <w:basedOn w:val="DefaultParagraphFont"/>
    <w:uiPriority w:val="99"/>
    <w:semiHidden/>
    <w:unhideWhenUsed/>
    <w:rsid w:val="00005564"/>
    <w:rPr>
      <w:color w:val="605E5C"/>
      <w:shd w:val="clear" w:color="auto" w:fill="E1DFDD"/>
    </w:rPr>
  </w:style>
  <w:style w:type="paragraph" w:styleId="Header">
    <w:name w:val="header"/>
    <w:basedOn w:val="Normal"/>
    <w:link w:val="HeaderChar"/>
    <w:uiPriority w:val="99"/>
    <w:unhideWhenUsed/>
    <w:rsid w:val="00326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0F5"/>
  </w:style>
  <w:style w:type="paragraph" w:styleId="Footer">
    <w:name w:val="footer"/>
    <w:basedOn w:val="Normal"/>
    <w:link w:val="FooterChar"/>
    <w:uiPriority w:val="99"/>
    <w:unhideWhenUsed/>
    <w:rsid w:val="00326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0F5"/>
  </w:style>
  <w:style w:type="paragraph" w:styleId="Revision">
    <w:name w:val="Revision"/>
    <w:hidden/>
    <w:uiPriority w:val="99"/>
    <w:semiHidden/>
    <w:rsid w:val="000C445E"/>
    <w:pPr>
      <w:spacing w:after="0" w:line="240" w:lineRule="auto"/>
    </w:pPr>
  </w:style>
  <w:style w:type="table" w:styleId="TableGrid">
    <w:name w:val="Table Grid"/>
    <w:basedOn w:val="TableNormal"/>
    <w:uiPriority w:val="39"/>
    <w:rsid w:val="00820ED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820ED4"/>
    <w:pPr>
      <w:spacing w:after="0" w:line="240" w:lineRule="auto"/>
    </w:pPr>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820ED4"/>
    <w:pPr>
      <w:spacing w:after="0" w:line="240" w:lineRule="auto"/>
    </w:pPr>
    <w:rPr>
      <w:sz w:val="22"/>
      <w:szCs w:val="22"/>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1Light">
    <w:name w:val="Grid Table 1 Light"/>
    <w:basedOn w:val="TableNormal"/>
    <w:uiPriority w:val="46"/>
    <w:rsid w:val="00820ED4"/>
    <w:pPr>
      <w:spacing w:after="0" w:line="240" w:lineRule="auto"/>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20ED4"/>
    <w:rPr>
      <w:rFonts w:ascii="Times New Roman" w:hAnsi="Times New Roman" w:cs="Times New Roman"/>
      <w:sz w:val="24"/>
      <w:szCs w:val="24"/>
    </w:rPr>
  </w:style>
  <w:style w:type="paragraph" w:styleId="Caption">
    <w:name w:val="caption"/>
    <w:basedOn w:val="Normal"/>
    <w:next w:val="Normal"/>
    <w:uiPriority w:val="35"/>
    <w:unhideWhenUsed/>
    <w:qFormat/>
    <w:rsid w:val="00820ED4"/>
    <w:pPr>
      <w:spacing w:after="200" w:line="240" w:lineRule="auto"/>
    </w:pPr>
    <w:rPr>
      <w:i/>
      <w:iCs/>
      <w:color w:val="0E2841" w:themeColor="text2"/>
      <w:sz w:val="18"/>
      <w:szCs w:val="18"/>
    </w:rPr>
  </w:style>
  <w:style w:type="character" w:styleId="Mention">
    <w:name w:val="Mention"/>
    <w:basedOn w:val="DefaultParagraphFont"/>
    <w:uiPriority w:val="99"/>
    <w:unhideWhenUsed/>
    <w:rsid w:val="00820ED4"/>
    <w:rPr>
      <w:color w:val="2B579A"/>
      <w:shd w:val="clear" w:color="auto" w:fill="E1DFDD"/>
    </w:rPr>
  </w:style>
  <w:style w:type="character" w:styleId="Strong">
    <w:name w:val="Strong"/>
    <w:basedOn w:val="DefaultParagraphFont"/>
    <w:uiPriority w:val="22"/>
    <w:qFormat/>
    <w:rsid w:val="00820ED4"/>
    <w:rPr>
      <w:b/>
      <w:bCs/>
    </w:rPr>
  </w:style>
  <w:style w:type="character" w:styleId="FollowedHyperlink">
    <w:name w:val="FollowedHyperlink"/>
    <w:basedOn w:val="DefaultParagraphFont"/>
    <w:uiPriority w:val="99"/>
    <w:semiHidden/>
    <w:unhideWhenUsed/>
    <w:rsid w:val="00653BBF"/>
    <w:rPr>
      <w:color w:val="96607D" w:themeColor="followedHyperlink"/>
      <w:u w:val="single"/>
    </w:rPr>
  </w:style>
  <w:style w:type="paragraph" w:customStyle="1" w:styleId="p1">
    <w:name w:val="p1"/>
    <w:basedOn w:val="Normal"/>
    <w:rsid w:val="00653BBF"/>
    <w:pPr>
      <w:spacing w:after="0" w:line="240" w:lineRule="auto"/>
    </w:pPr>
    <w:rPr>
      <w:rFonts w:ascii=".AppleSystemUIFont" w:eastAsia="Times New Roman" w:hAnsi=".AppleSystemUIFont" w:cs="Times New Roman"/>
      <w:kern w:val="0"/>
      <w:sz w:val="20"/>
      <w:szCs w:val="20"/>
      <w14:ligatures w14:val="none"/>
    </w:rPr>
  </w:style>
  <w:style w:type="paragraph" w:customStyle="1" w:styleId="p2">
    <w:name w:val="p2"/>
    <w:basedOn w:val="Normal"/>
    <w:rsid w:val="00653BBF"/>
    <w:pPr>
      <w:spacing w:after="0" w:line="240" w:lineRule="auto"/>
    </w:pPr>
    <w:rPr>
      <w:rFonts w:ascii="Helvetica" w:eastAsia="Times New Roman" w:hAnsi="Helvetica" w:cs="Times New Roman"/>
      <w:kern w:val="0"/>
      <w:sz w:val="18"/>
      <w:szCs w:val="18"/>
      <w14:ligatures w14:val="none"/>
    </w:rPr>
  </w:style>
  <w:style w:type="paragraph" w:styleId="z-TopofForm">
    <w:name w:val="HTML Top of Form"/>
    <w:basedOn w:val="Normal"/>
    <w:next w:val="Normal"/>
    <w:link w:val="z-TopofFormChar"/>
    <w:hidden/>
    <w:uiPriority w:val="99"/>
    <w:semiHidden/>
    <w:unhideWhenUsed/>
    <w:rsid w:val="00310AA6"/>
    <w:pPr>
      <w:pBdr>
        <w:bottom w:val="single" w:sz="6" w:space="1" w:color="auto"/>
      </w:pBdr>
      <w:spacing w:after="0" w:line="240" w:lineRule="auto"/>
      <w:jc w:val="center"/>
    </w:pPr>
    <w:rPr>
      <w:rFonts w:ascii="Arial" w:eastAsia="Times New Roman" w:hAnsi="Arial" w:cs="Arial"/>
      <w:vanish/>
      <w:kern w:val="0"/>
      <w:sz w:val="16"/>
      <w:szCs w:val="16"/>
      <w:lang w:val="en-CA" w:eastAsia="en-CA"/>
      <w14:ligatures w14:val="none"/>
    </w:rPr>
  </w:style>
  <w:style w:type="character" w:customStyle="1" w:styleId="z-TopofFormChar">
    <w:name w:val="z-Top of Form Char"/>
    <w:basedOn w:val="DefaultParagraphFont"/>
    <w:link w:val="z-TopofForm"/>
    <w:uiPriority w:val="99"/>
    <w:semiHidden/>
    <w:rsid w:val="00310AA6"/>
    <w:rPr>
      <w:rFonts w:ascii="Arial" w:eastAsia="Times New Roman" w:hAnsi="Arial" w:cs="Arial"/>
      <w:vanish/>
      <w:kern w:val="0"/>
      <w:sz w:val="16"/>
      <w:szCs w:val="16"/>
      <w:lang w:val="en-CA" w:eastAsia="en-CA"/>
      <w14:ligatures w14:val="none"/>
    </w:rPr>
  </w:style>
  <w:style w:type="paragraph" w:customStyle="1" w:styleId="Default">
    <w:name w:val="Default"/>
    <w:rsid w:val="00297F7A"/>
    <w:pPr>
      <w:autoSpaceDE w:val="0"/>
      <w:autoSpaceDN w:val="0"/>
      <w:adjustRightInd w:val="0"/>
      <w:spacing w:after="0" w:line="240" w:lineRule="auto"/>
    </w:pPr>
    <w:rPr>
      <w:rFonts w:ascii="Source Sans Pro Light" w:hAnsi="Source Sans Pro Light" w:cs="Source Sans Pro Light"/>
      <w:color w:val="000000"/>
      <w:kern w:val="0"/>
    </w:rPr>
  </w:style>
  <w:style w:type="paragraph" w:customStyle="1" w:styleId="Pa4">
    <w:name w:val="Pa4"/>
    <w:basedOn w:val="Default"/>
    <w:next w:val="Default"/>
    <w:uiPriority w:val="99"/>
    <w:rsid w:val="00297F7A"/>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085">
      <w:bodyDiv w:val="1"/>
      <w:marLeft w:val="0"/>
      <w:marRight w:val="0"/>
      <w:marTop w:val="0"/>
      <w:marBottom w:val="0"/>
      <w:divBdr>
        <w:top w:val="none" w:sz="0" w:space="0" w:color="auto"/>
        <w:left w:val="none" w:sz="0" w:space="0" w:color="auto"/>
        <w:bottom w:val="none" w:sz="0" w:space="0" w:color="auto"/>
        <w:right w:val="none" w:sz="0" w:space="0" w:color="auto"/>
      </w:divBdr>
    </w:div>
    <w:div w:id="9182478">
      <w:bodyDiv w:val="1"/>
      <w:marLeft w:val="0"/>
      <w:marRight w:val="0"/>
      <w:marTop w:val="0"/>
      <w:marBottom w:val="0"/>
      <w:divBdr>
        <w:top w:val="none" w:sz="0" w:space="0" w:color="auto"/>
        <w:left w:val="none" w:sz="0" w:space="0" w:color="auto"/>
        <w:bottom w:val="none" w:sz="0" w:space="0" w:color="auto"/>
        <w:right w:val="none" w:sz="0" w:space="0" w:color="auto"/>
      </w:divBdr>
    </w:div>
    <w:div w:id="36273257">
      <w:bodyDiv w:val="1"/>
      <w:marLeft w:val="0"/>
      <w:marRight w:val="0"/>
      <w:marTop w:val="0"/>
      <w:marBottom w:val="0"/>
      <w:divBdr>
        <w:top w:val="none" w:sz="0" w:space="0" w:color="auto"/>
        <w:left w:val="none" w:sz="0" w:space="0" w:color="auto"/>
        <w:bottom w:val="none" w:sz="0" w:space="0" w:color="auto"/>
        <w:right w:val="none" w:sz="0" w:space="0" w:color="auto"/>
      </w:divBdr>
    </w:div>
    <w:div w:id="43137909">
      <w:bodyDiv w:val="1"/>
      <w:marLeft w:val="0"/>
      <w:marRight w:val="0"/>
      <w:marTop w:val="0"/>
      <w:marBottom w:val="0"/>
      <w:divBdr>
        <w:top w:val="none" w:sz="0" w:space="0" w:color="auto"/>
        <w:left w:val="none" w:sz="0" w:space="0" w:color="auto"/>
        <w:bottom w:val="none" w:sz="0" w:space="0" w:color="auto"/>
        <w:right w:val="none" w:sz="0" w:space="0" w:color="auto"/>
      </w:divBdr>
      <w:divsChild>
        <w:div w:id="1017123652">
          <w:marLeft w:val="0"/>
          <w:marRight w:val="0"/>
          <w:marTop w:val="0"/>
          <w:marBottom w:val="0"/>
          <w:divBdr>
            <w:top w:val="none" w:sz="0" w:space="0" w:color="auto"/>
            <w:left w:val="none" w:sz="0" w:space="0" w:color="auto"/>
            <w:bottom w:val="none" w:sz="0" w:space="0" w:color="auto"/>
            <w:right w:val="none" w:sz="0" w:space="0" w:color="auto"/>
          </w:divBdr>
          <w:divsChild>
            <w:div w:id="235896756">
              <w:marLeft w:val="0"/>
              <w:marRight w:val="0"/>
              <w:marTop w:val="0"/>
              <w:marBottom w:val="4800"/>
              <w:divBdr>
                <w:top w:val="none" w:sz="0" w:space="0" w:color="auto"/>
                <w:left w:val="none" w:sz="0" w:space="0" w:color="auto"/>
                <w:bottom w:val="none" w:sz="0" w:space="0" w:color="auto"/>
                <w:right w:val="none" w:sz="0" w:space="0" w:color="auto"/>
              </w:divBdr>
              <w:divsChild>
                <w:div w:id="678390728">
                  <w:marLeft w:val="0"/>
                  <w:marRight w:val="0"/>
                  <w:marTop w:val="0"/>
                  <w:marBottom w:val="0"/>
                  <w:divBdr>
                    <w:top w:val="none" w:sz="0" w:space="0" w:color="auto"/>
                    <w:left w:val="none" w:sz="0" w:space="0" w:color="auto"/>
                    <w:bottom w:val="none" w:sz="0" w:space="0" w:color="auto"/>
                    <w:right w:val="none" w:sz="0" w:space="0" w:color="auto"/>
                  </w:divBdr>
                  <w:divsChild>
                    <w:div w:id="1066145161">
                      <w:marLeft w:val="0"/>
                      <w:marRight w:val="0"/>
                      <w:marTop w:val="120"/>
                      <w:marBottom w:val="0"/>
                      <w:divBdr>
                        <w:top w:val="none" w:sz="0" w:space="0" w:color="auto"/>
                        <w:left w:val="none" w:sz="0" w:space="0" w:color="auto"/>
                        <w:bottom w:val="none" w:sz="0" w:space="0" w:color="auto"/>
                        <w:right w:val="none" w:sz="0" w:space="0" w:color="auto"/>
                      </w:divBdr>
                      <w:divsChild>
                        <w:div w:id="1381519697">
                          <w:marLeft w:val="0"/>
                          <w:marRight w:val="0"/>
                          <w:marTop w:val="0"/>
                          <w:marBottom w:val="0"/>
                          <w:divBdr>
                            <w:top w:val="none" w:sz="0" w:space="0" w:color="auto"/>
                            <w:left w:val="none" w:sz="0" w:space="0" w:color="auto"/>
                            <w:bottom w:val="none" w:sz="0" w:space="0" w:color="auto"/>
                            <w:right w:val="none" w:sz="0" w:space="0" w:color="auto"/>
                          </w:divBdr>
                          <w:divsChild>
                            <w:div w:id="929966662">
                              <w:marLeft w:val="0"/>
                              <w:marRight w:val="0"/>
                              <w:marTop w:val="0"/>
                              <w:marBottom w:val="0"/>
                              <w:divBdr>
                                <w:top w:val="none" w:sz="0" w:space="0" w:color="auto"/>
                                <w:left w:val="none" w:sz="0" w:space="0" w:color="auto"/>
                                <w:bottom w:val="none" w:sz="0" w:space="0" w:color="auto"/>
                                <w:right w:val="none" w:sz="0" w:space="0" w:color="auto"/>
                              </w:divBdr>
                              <w:divsChild>
                                <w:div w:id="144252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05991">
      <w:bodyDiv w:val="1"/>
      <w:marLeft w:val="0"/>
      <w:marRight w:val="0"/>
      <w:marTop w:val="0"/>
      <w:marBottom w:val="0"/>
      <w:divBdr>
        <w:top w:val="none" w:sz="0" w:space="0" w:color="auto"/>
        <w:left w:val="none" w:sz="0" w:space="0" w:color="auto"/>
        <w:bottom w:val="none" w:sz="0" w:space="0" w:color="auto"/>
        <w:right w:val="none" w:sz="0" w:space="0" w:color="auto"/>
      </w:divBdr>
    </w:div>
    <w:div w:id="48653720">
      <w:bodyDiv w:val="1"/>
      <w:marLeft w:val="0"/>
      <w:marRight w:val="0"/>
      <w:marTop w:val="0"/>
      <w:marBottom w:val="0"/>
      <w:divBdr>
        <w:top w:val="none" w:sz="0" w:space="0" w:color="auto"/>
        <w:left w:val="none" w:sz="0" w:space="0" w:color="auto"/>
        <w:bottom w:val="none" w:sz="0" w:space="0" w:color="auto"/>
        <w:right w:val="none" w:sz="0" w:space="0" w:color="auto"/>
      </w:divBdr>
    </w:div>
    <w:div w:id="53236055">
      <w:bodyDiv w:val="1"/>
      <w:marLeft w:val="0"/>
      <w:marRight w:val="0"/>
      <w:marTop w:val="0"/>
      <w:marBottom w:val="0"/>
      <w:divBdr>
        <w:top w:val="none" w:sz="0" w:space="0" w:color="auto"/>
        <w:left w:val="none" w:sz="0" w:space="0" w:color="auto"/>
        <w:bottom w:val="none" w:sz="0" w:space="0" w:color="auto"/>
        <w:right w:val="none" w:sz="0" w:space="0" w:color="auto"/>
      </w:divBdr>
    </w:div>
    <w:div w:id="77873761">
      <w:bodyDiv w:val="1"/>
      <w:marLeft w:val="0"/>
      <w:marRight w:val="0"/>
      <w:marTop w:val="0"/>
      <w:marBottom w:val="0"/>
      <w:divBdr>
        <w:top w:val="none" w:sz="0" w:space="0" w:color="auto"/>
        <w:left w:val="none" w:sz="0" w:space="0" w:color="auto"/>
        <w:bottom w:val="none" w:sz="0" w:space="0" w:color="auto"/>
        <w:right w:val="none" w:sz="0" w:space="0" w:color="auto"/>
      </w:divBdr>
    </w:div>
    <w:div w:id="101002266">
      <w:bodyDiv w:val="1"/>
      <w:marLeft w:val="0"/>
      <w:marRight w:val="0"/>
      <w:marTop w:val="0"/>
      <w:marBottom w:val="0"/>
      <w:divBdr>
        <w:top w:val="none" w:sz="0" w:space="0" w:color="auto"/>
        <w:left w:val="none" w:sz="0" w:space="0" w:color="auto"/>
        <w:bottom w:val="none" w:sz="0" w:space="0" w:color="auto"/>
        <w:right w:val="none" w:sz="0" w:space="0" w:color="auto"/>
      </w:divBdr>
    </w:div>
    <w:div w:id="110101320">
      <w:bodyDiv w:val="1"/>
      <w:marLeft w:val="0"/>
      <w:marRight w:val="0"/>
      <w:marTop w:val="0"/>
      <w:marBottom w:val="0"/>
      <w:divBdr>
        <w:top w:val="none" w:sz="0" w:space="0" w:color="auto"/>
        <w:left w:val="none" w:sz="0" w:space="0" w:color="auto"/>
        <w:bottom w:val="none" w:sz="0" w:space="0" w:color="auto"/>
        <w:right w:val="none" w:sz="0" w:space="0" w:color="auto"/>
      </w:divBdr>
    </w:div>
    <w:div w:id="124549764">
      <w:bodyDiv w:val="1"/>
      <w:marLeft w:val="0"/>
      <w:marRight w:val="0"/>
      <w:marTop w:val="0"/>
      <w:marBottom w:val="0"/>
      <w:divBdr>
        <w:top w:val="none" w:sz="0" w:space="0" w:color="auto"/>
        <w:left w:val="none" w:sz="0" w:space="0" w:color="auto"/>
        <w:bottom w:val="none" w:sz="0" w:space="0" w:color="auto"/>
        <w:right w:val="none" w:sz="0" w:space="0" w:color="auto"/>
      </w:divBdr>
    </w:div>
    <w:div w:id="130562341">
      <w:bodyDiv w:val="1"/>
      <w:marLeft w:val="0"/>
      <w:marRight w:val="0"/>
      <w:marTop w:val="0"/>
      <w:marBottom w:val="0"/>
      <w:divBdr>
        <w:top w:val="none" w:sz="0" w:space="0" w:color="auto"/>
        <w:left w:val="none" w:sz="0" w:space="0" w:color="auto"/>
        <w:bottom w:val="none" w:sz="0" w:space="0" w:color="auto"/>
        <w:right w:val="none" w:sz="0" w:space="0" w:color="auto"/>
      </w:divBdr>
    </w:div>
    <w:div w:id="148404040">
      <w:bodyDiv w:val="1"/>
      <w:marLeft w:val="0"/>
      <w:marRight w:val="0"/>
      <w:marTop w:val="0"/>
      <w:marBottom w:val="0"/>
      <w:divBdr>
        <w:top w:val="none" w:sz="0" w:space="0" w:color="auto"/>
        <w:left w:val="none" w:sz="0" w:space="0" w:color="auto"/>
        <w:bottom w:val="none" w:sz="0" w:space="0" w:color="auto"/>
        <w:right w:val="none" w:sz="0" w:space="0" w:color="auto"/>
      </w:divBdr>
    </w:div>
    <w:div w:id="222254093">
      <w:bodyDiv w:val="1"/>
      <w:marLeft w:val="0"/>
      <w:marRight w:val="0"/>
      <w:marTop w:val="0"/>
      <w:marBottom w:val="0"/>
      <w:divBdr>
        <w:top w:val="none" w:sz="0" w:space="0" w:color="auto"/>
        <w:left w:val="none" w:sz="0" w:space="0" w:color="auto"/>
        <w:bottom w:val="none" w:sz="0" w:space="0" w:color="auto"/>
        <w:right w:val="none" w:sz="0" w:space="0" w:color="auto"/>
      </w:divBdr>
    </w:div>
    <w:div w:id="225531773">
      <w:bodyDiv w:val="1"/>
      <w:marLeft w:val="0"/>
      <w:marRight w:val="0"/>
      <w:marTop w:val="0"/>
      <w:marBottom w:val="0"/>
      <w:divBdr>
        <w:top w:val="none" w:sz="0" w:space="0" w:color="auto"/>
        <w:left w:val="none" w:sz="0" w:space="0" w:color="auto"/>
        <w:bottom w:val="none" w:sz="0" w:space="0" w:color="auto"/>
        <w:right w:val="none" w:sz="0" w:space="0" w:color="auto"/>
      </w:divBdr>
    </w:div>
    <w:div w:id="233782843">
      <w:bodyDiv w:val="1"/>
      <w:marLeft w:val="0"/>
      <w:marRight w:val="0"/>
      <w:marTop w:val="0"/>
      <w:marBottom w:val="0"/>
      <w:divBdr>
        <w:top w:val="none" w:sz="0" w:space="0" w:color="auto"/>
        <w:left w:val="none" w:sz="0" w:space="0" w:color="auto"/>
        <w:bottom w:val="none" w:sz="0" w:space="0" w:color="auto"/>
        <w:right w:val="none" w:sz="0" w:space="0" w:color="auto"/>
      </w:divBdr>
    </w:div>
    <w:div w:id="243802678">
      <w:bodyDiv w:val="1"/>
      <w:marLeft w:val="0"/>
      <w:marRight w:val="0"/>
      <w:marTop w:val="0"/>
      <w:marBottom w:val="0"/>
      <w:divBdr>
        <w:top w:val="none" w:sz="0" w:space="0" w:color="auto"/>
        <w:left w:val="none" w:sz="0" w:space="0" w:color="auto"/>
        <w:bottom w:val="none" w:sz="0" w:space="0" w:color="auto"/>
        <w:right w:val="none" w:sz="0" w:space="0" w:color="auto"/>
      </w:divBdr>
    </w:div>
    <w:div w:id="248781655">
      <w:bodyDiv w:val="1"/>
      <w:marLeft w:val="0"/>
      <w:marRight w:val="0"/>
      <w:marTop w:val="0"/>
      <w:marBottom w:val="0"/>
      <w:divBdr>
        <w:top w:val="none" w:sz="0" w:space="0" w:color="auto"/>
        <w:left w:val="none" w:sz="0" w:space="0" w:color="auto"/>
        <w:bottom w:val="none" w:sz="0" w:space="0" w:color="auto"/>
        <w:right w:val="none" w:sz="0" w:space="0" w:color="auto"/>
      </w:divBdr>
    </w:div>
    <w:div w:id="270205582">
      <w:bodyDiv w:val="1"/>
      <w:marLeft w:val="0"/>
      <w:marRight w:val="0"/>
      <w:marTop w:val="0"/>
      <w:marBottom w:val="0"/>
      <w:divBdr>
        <w:top w:val="none" w:sz="0" w:space="0" w:color="auto"/>
        <w:left w:val="none" w:sz="0" w:space="0" w:color="auto"/>
        <w:bottom w:val="none" w:sz="0" w:space="0" w:color="auto"/>
        <w:right w:val="none" w:sz="0" w:space="0" w:color="auto"/>
      </w:divBdr>
    </w:div>
    <w:div w:id="291206525">
      <w:bodyDiv w:val="1"/>
      <w:marLeft w:val="0"/>
      <w:marRight w:val="0"/>
      <w:marTop w:val="0"/>
      <w:marBottom w:val="0"/>
      <w:divBdr>
        <w:top w:val="none" w:sz="0" w:space="0" w:color="auto"/>
        <w:left w:val="none" w:sz="0" w:space="0" w:color="auto"/>
        <w:bottom w:val="none" w:sz="0" w:space="0" w:color="auto"/>
        <w:right w:val="none" w:sz="0" w:space="0" w:color="auto"/>
      </w:divBdr>
    </w:div>
    <w:div w:id="312100793">
      <w:bodyDiv w:val="1"/>
      <w:marLeft w:val="0"/>
      <w:marRight w:val="0"/>
      <w:marTop w:val="0"/>
      <w:marBottom w:val="0"/>
      <w:divBdr>
        <w:top w:val="none" w:sz="0" w:space="0" w:color="auto"/>
        <w:left w:val="none" w:sz="0" w:space="0" w:color="auto"/>
        <w:bottom w:val="none" w:sz="0" w:space="0" w:color="auto"/>
        <w:right w:val="none" w:sz="0" w:space="0" w:color="auto"/>
      </w:divBdr>
    </w:div>
    <w:div w:id="316036124">
      <w:bodyDiv w:val="1"/>
      <w:marLeft w:val="0"/>
      <w:marRight w:val="0"/>
      <w:marTop w:val="0"/>
      <w:marBottom w:val="0"/>
      <w:divBdr>
        <w:top w:val="none" w:sz="0" w:space="0" w:color="auto"/>
        <w:left w:val="none" w:sz="0" w:space="0" w:color="auto"/>
        <w:bottom w:val="none" w:sz="0" w:space="0" w:color="auto"/>
        <w:right w:val="none" w:sz="0" w:space="0" w:color="auto"/>
      </w:divBdr>
    </w:div>
    <w:div w:id="319316074">
      <w:bodyDiv w:val="1"/>
      <w:marLeft w:val="0"/>
      <w:marRight w:val="0"/>
      <w:marTop w:val="0"/>
      <w:marBottom w:val="0"/>
      <w:divBdr>
        <w:top w:val="none" w:sz="0" w:space="0" w:color="auto"/>
        <w:left w:val="none" w:sz="0" w:space="0" w:color="auto"/>
        <w:bottom w:val="none" w:sz="0" w:space="0" w:color="auto"/>
        <w:right w:val="none" w:sz="0" w:space="0" w:color="auto"/>
      </w:divBdr>
      <w:divsChild>
        <w:div w:id="194971909">
          <w:marLeft w:val="0"/>
          <w:marRight w:val="0"/>
          <w:marTop w:val="0"/>
          <w:marBottom w:val="0"/>
          <w:divBdr>
            <w:top w:val="none" w:sz="0" w:space="0" w:color="auto"/>
            <w:left w:val="none" w:sz="0" w:space="0" w:color="auto"/>
            <w:bottom w:val="none" w:sz="0" w:space="0" w:color="auto"/>
            <w:right w:val="none" w:sz="0" w:space="0" w:color="auto"/>
          </w:divBdr>
          <w:divsChild>
            <w:div w:id="462892896">
              <w:marLeft w:val="-225"/>
              <w:marRight w:val="-225"/>
              <w:marTop w:val="0"/>
              <w:marBottom w:val="0"/>
              <w:divBdr>
                <w:top w:val="none" w:sz="0" w:space="0" w:color="auto"/>
                <w:left w:val="none" w:sz="0" w:space="0" w:color="auto"/>
                <w:bottom w:val="none" w:sz="0" w:space="0" w:color="auto"/>
                <w:right w:val="none" w:sz="0" w:space="0" w:color="auto"/>
              </w:divBdr>
              <w:divsChild>
                <w:div w:id="1441603607">
                  <w:marLeft w:val="0"/>
                  <w:marRight w:val="0"/>
                  <w:marTop w:val="0"/>
                  <w:marBottom w:val="0"/>
                  <w:divBdr>
                    <w:top w:val="none" w:sz="0" w:space="0" w:color="auto"/>
                    <w:left w:val="none" w:sz="0" w:space="0" w:color="auto"/>
                    <w:bottom w:val="none" w:sz="0" w:space="0" w:color="auto"/>
                    <w:right w:val="none" w:sz="0" w:space="0" w:color="auto"/>
                  </w:divBdr>
                  <w:divsChild>
                    <w:div w:id="11264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13438">
          <w:marLeft w:val="0"/>
          <w:marRight w:val="0"/>
          <w:marTop w:val="0"/>
          <w:marBottom w:val="0"/>
          <w:divBdr>
            <w:top w:val="none" w:sz="0" w:space="0" w:color="auto"/>
            <w:left w:val="none" w:sz="0" w:space="0" w:color="auto"/>
            <w:bottom w:val="none" w:sz="0" w:space="0" w:color="auto"/>
            <w:right w:val="none" w:sz="0" w:space="0" w:color="auto"/>
          </w:divBdr>
          <w:divsChild>
            <w:div w:id="95634116">
              <w:marLeft w:val="-225"/>
              <w:marRight w:val="-225"/>
              <w:marTop w:val="0"/>
              <w:marBottom w:val="0"/>
              <w:divBdr>
                <w:top w:val="none" w:sz="0" w:space="0" w:color="auto"/>
                <w:left w:val="none" w:sz="0" w:space="0" w:color="auto"/>
                <w:bottom w:val="none" w:sz="0" w:space="0" w:color="auto"/>
                <w:right w:val="none" w:sz="0" w:space="0" w:color="auto"/>
              </w:divBdr>
              <w:divsChild>
                <w:div w:id="1380855591">
                  <w:marLeft w:val="0"/>
                  <w:marRight w:val="0"/>
                  <w:marTop w:val="0"/>
                  <w:marBottom w:val="0"/>
                  <w:divBdr>
                    <w:top w:val="none" w:sz="0" w:space="0" w:color="auto"/>
                    <w:left w:val="none" w:sz="0" w:space="0" w:color="auto"/>
                    <w:bottom w:val="none" w:sz="0" w:space="0" w:color="auto"/>
                    <w:right w:val="none" w:sz="0" w:space="0" w:color="auto"/>
                  </w:divBdr>
                  <w:divsChild>
                    <w:div w:id="791830670">
                      <w:marLeft w:val="0"/>
                      <w:marRight w:val="0"/>
                      <w:marTop w:val="0"/>
                      <w:marBottom w:val="0"/>
                      <w:divBdr>
                        <w:top w:val="none" w:sz="0" w:space="0" w:color="auto"/>
                        <w:left w:val="none" w:sz="0" w:space="0" w:color="auto"/>
                        <w:bottom w:val="none" w:sz="0" w:space="0" w:color="auto"/>
                        <w:right w:val="none" w:sz="0" w:space="0" w:color="auto"/>
                      </w:divBdr>
                      <w:divsChild>
                        <w:div w:id="13057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267934">
      <w:bodyDiv w:val="1"/>
      <w:marLeft w:val="0"/>
      <w:marRight w:val="0"/>
      <w:marTop w:val="0"/>
      <w:marBottom w:val="0"/>
      <w:divBdr>
        <w:top w:val="none" w:sz="0" w:space="0" w:color="auto"/>
        <w:left w:val="none" w:sz="0" w:space="0" w:color="auto"/>
        <w:bottom w:val="none" w:sz="0" w:space="0" w:color="auto"/>
        <w:right w:val="none" w:sz="0" w:space="0" w:color="auto"/>
      </w:divBdr>
    </w:div>
    <w:div w:id="346248501">
      <w:bodyDiv w:val="1"/>
      <w:marLeft w:val="0"/>
      <w:marRight w:val="0"/>
      <w:marTop w:val="0"/>
      <w:marBottom w:val="0"/>
      <w:divBdr>
        <w:top w:val="none" w:sz="0" w:space="0" w:color="auto"/>
        <w:left w:val="none" w:sz="0" w:space="0" w:color="auto"/>
        <w:bottom w:val="none" w:sz="0" w:space="0" w:color="auto"/>
        <w:right w:val="none" w:sz="0" w:space="0" w:color="auto"/>
      </w:divBdr>
    </w:div>
    <w:div w:id="347215752">
      <w:bodyDiv w:val="1"/>
      <w:marLeft w:val="0"/>
      <w:marRight w:val="0"/>
      <w:marTop w:val="0"/>
      <w:marBottom w:val="0"/>
      <w:divBdr>
        <w:top w:val="none" w:sz="0" w:space="0" w:color="auto"/>
        <w:left w:val="none" w:sz="0" w:space="0" w:color="auto"/>
        <w:bottom w:val="none" w:sz="0" w:space="0" w:color="auto"/>
        <w:right w:val="none" w:sz="0" w:space="0" w:color="auto"/>
      </w:divBdr>
    </w:div>
    <w:div w:id="351614069">
      <w:bodyDiv w:val="1"/>
      <w:marLeft w:val="0"/>
      <w:marRight w:val="0"/>
      <w:marTop w:val="0"/>
      <w:marBottom w:val="0"/>
      <w:divBdr>
        <w:top w:val="none" w:sz="0" w:space="0" w:color="auto"/>
        <w:left w:val="none" w:sz="0" w:space="0" w:color="auto"/>
        <w:bottom w:val="none" w:sz="0" w:space="0" w:color="auto"/>
        <w:right w:val="none" w:sz="0" w:space="0" w:color="auto"/>
      </w:divBdr>
    </w:div>
    <w:div w:id="365761065">
      <w:bodyDiv w:val="1"/>
      <w:marLeft w:val="0"/>
      <w:marRight w:val="0"/>
      <w:marTop w:val="0"/>
      <w:marBottom w:val="0"/>
      <w:divBdr>
        <w:top w:val="none" w:sz="0" w:space="0" w:color="auto"/>
        <w:left w:val="none" w:sz="0" w:space="0" w:color="auto"/>
        <w:bottom w:val="none" w:sz="0" w:space="0" w:color="auto"/>
        <w:right w:val="none" w:sz="0" w:space="0" w:color="auto"/>
      </w:divBdr>
    </w:div>
    <w:div w:id="376979686">
      <w:bodyDiv w:val="1"/>
      <w:marLeft w:val="0"/>
      <w:marRight w:val="0"/>
      <w:marTop w:val="0"/>
      <w:marBottom w:val="0"/>
      <w:divBdr>
        <w:top w:val="none" w:sz="0" w:space="0" w:color="auto"/>
        <w:left w:val="none" w:sz="0" w:space="0" w:color="auto"/>
        <w:bottom w:val="none" w:sz="0" w:space="0" w:color="auto"/>
        <w:right w:val="none" w:sz="0" w:space="0" w:color="auto"/>
      </w:divBdr>
    </w:div>
    <w:div w:id="391856427">
      <w:bodyDiv w:val="1"/>
      <w:marLeft w:val="0"/>
      <w:marRight w:val="0"/>
      <w:marTop w:val="0"/>
      <w:marBottom w:val="0"/>
      <w:divBdr>
        <w:top w:val="none" w:sz="0" w:space="0" w:color="auto"/>
        <w:left w:val="none" w:sz="0" w:space="0" w:color="auto"/>
        <w:bottom w:val="none" w:sz="0" w:space="0" w:color="auto"/>
        <w:right w:val="none" w:sz="0" w:space="0" w:color="auto"/>
      </w:divBdr>
      <w:divsChild>
        <w:div w:id="434445344">
          <w:marLeft w:val="0"/>
          <w:marRight w:val="0"/>
          <w:marTop w:val="0"/>
          <w:marBottom w:val="0"/>
          <w:divBdr>
            <w:top w:val="none" w:sz="0" w:space="0" w:color="auto"/>
            <w:left w:val="none" w:sz="0" w:space="0" w:color="auto"/>
            <w:bottom w:val="none" w:sz="0" w:space="0" w:color="auto"/>
            <w:right w:val="none" w:sz="0" w:space="0" w:color="auto"/>
          </w:divBdr>
          <w:divsChild>
            <w:div w:id="1757051566">
              <w:marLeft w:val="0"/>
              <w:marRight w:val="0"/>
              <w:marTop w:val="0"/>
              <w:marBottom w:val="4800"/>
              <w:divBdr>
                <w:top w:val="none" w:sz="0" w:space="0" w:color="auto"/>
                <w:left w:val="none" w:sz="0" w:space="0" w:color="auto"/>
                <w:bottom w:val="none" w:sz="0" w:space="0" w:color="auto"/>
                <w:right w:val="none" w:sz="0" w:space="0" w:color="auto"/>
              </w:divBdr>
              <w:divsChild>
                <w:div w:id="1608344549">
                  <w:marLeft w:val="0"/>
                  <w:marRight w:val="0"/>
                  <w:marTop w:val="0"/>
                  <w:marBottom w:val="0"/>
                  <w:divBdr>
                    <w:top w:val="none" w:sz="0" w:space="0" w:color="auto"/>
                    <w:left w:val="none" w:sz="0" w:space="0" w:color="auto"/>
                    <w:bottom w:val="none" w:sz="0" w:space="0" w:color="auto"/>
                    <w:right w:val="none" w:sz="0" w:space="0" w:color="auto"/>
                  </w:divBdr>
                  <w:divsChild>
                    <w:div w:id="1101338935">
                      <w:marLeft w:val="0"/>
                      <w:marRight w:val="0"/>
                      <w:marTop w:val="120"/>
                      <w:marBottom w:val="0"/>
                      <w:divBdr>
                        <w:top w:val="none" w:sz="0" w:space="0" w:color="auto"/>
                        <w:left w:val="none" w:sz="0" w:space="0" w:color="auto"/>
                        <w:bottom w:val="none" w:sz="0" w:space="0" w:color="auto"/>
                        <w:right w:val="none" w:sz="0" w:space="0" w:color="auto"/>
                      </w:divBdr>
                      <w:divsChild>
                        <w:div w:id="1771773519">
                          <w:marLeft w:val="0"/>
                          <w:marRight w:val="0"/>
                          <w:marTop w:val="0"/>
                          <w:marBottom w:val="0"/>
                          <w:divBdr>
                            <w:top w:val="none" w:sz="0" w:space="0" w:color="auto"/>
                            <w:left w:val="none" w:sz="0" w:space="0" w:color="auto"/>
                            <w:bottom w:val="none" w:sz="0" w:space="0" w:color="auto"/>
                            <w:right w:val="none" w:sz="0" w:space="0" w:color="auto"/>
                          </w:divBdr>
                          <w:divsChild>
                            <w:div w:id="1528519162">
                              <w:marLeft w:val="0"/>
                              <w:marRight w:val="0"/>
                              <w:marTop w:val="0"/>
                              <w:marBottom w:val="0"/>
                              <w:divBdr>
                                <w:top w:val="none" w:sz="0" w:space="0" w:color="auto"/>
                                <w:left w:val="none" w:sz="0" w:space="0" w:color="auto"/>
                                <w:bottom w:val="none" w:sz="0" w:space="0" w:color="auto"/>
                                <w:right w:val="none" w:sz="0" w:space="0" w:color="auto"/>
                              </w:divBdr>
                              <w:divsChild>
                                <w:div w:id="4080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5438">
      <w:bodyDiv w:val="1"/>
      <w:marLeft w:val="0"/>
      <w:marRight w:val="0"/>
      <w:marTop w:val="0"/>
      <w:marBottom w:val="0"/>
      <w:divBdr>
        <w:top w:val="none" w:sz="0" w:space="0" w:color="auto"/>
        <w:left w:val="none" w:sz="0" w:space="0" w:color="auto"/>
        <w:bottom w:val="none" w:sz="0" w:space="0" w:color="auto"/>
        <w:right w:val="none" w:sz="0" w:space="0" w:color="auto"/>
      </w:divBdr>
      <w:divsChild>
        <w:div w:id="1875147395">
          <w:marLeft w:val="0"/>
          <w:marRight w:val="0"/>
          <w:marTop w:val="0"/>
          <w:marBottom w:val="0"/>
          <w:divBdr>
            <w:top w:val="none" w:sz="0" w:space="0" w:color="auto"/>
            <w:left w:val="none" w:sz="0" w:space="0" w:color="auto"/>
            <w:bottom w:val="none" w:sz="0" w:space="0" w:color="auto"/>
            <w:right w:val="none" w:sz="0" w:space="0" w:color="auto"/>
          </w:divBdr>
        </w:div>
      </w:divsChild>
    </w:div>
    <w:div w:id="405303716">
      <w:bodyDiv w:val="1"/>
      <w:marLeft w:val="0"/>
      <w:marRight w:val="0"/>
      <w:marTop w:val="0"/>
      <w:marBottom w:val="0"/>
      <w:divBdr>
        <w:top w:val="none" w:sz="0" w:space="0" w:color="auto"/>
        <w:left w:val="none" w:sz="0" w:space="0" w:color="auto"/>
        <w:bottom w:val="none" w:sz="0" w:space="0" w:color="auto"/>
        <w:right w:val="none" w:sz="0" w:space="0" w:color="auto"/>
      </w:divBdr>
      <w:divsChild>
        <w:div w:id="367528437">
          <w:marLeft w:val="0"/>
          <w:marRight w:val="0"/>
          <w:marTop w:val="0"/>
          <w:marBottom w:val="0"/>
          <w:divBdr>
            <w:top w:val="none" w:sz="0" w:space="0" w:color="auto"/>
            <w:left w:val="none" w:sz="0" w:space="0" w:color="auto"/>
            <w:bottom w:val="none" w:sz="0" w:space="0" w:color="auto"/>
            <w:right w:val="none" w:sz="0" w:space="0" w:color="auto"/>
          </w:divBdr>
        </w:div>
      </w:divsChild>
    </w:div>
    <w:div w:id="424885973">
      <w:bodyDiv w:val="1"/>
      <w:marLeft w:val="0"/>
      <w:marRight w:val="0"/>
      <w:marTop w:val="0"/>
      <w:marBottom w:val="0"/>
      <w:divBdr>
        <w:top w:val="none" w:sz="0" w:space="0" w:color="auto"/>
        <w:left w:val="none" w:sz="0" w:space="0" w:color="auto"/>
        <w:bottom w:val="none" w:sz="0" w:space="0" w:color="auto"/>
        <w:right w:val="none" w:sz="0" w:space="0" w:color="auto"/>
      </w:divBdr>
    </w:div>
    <w:div w:id="426393554">
      <w:bodyDiv w:val="1"/>
      <w:marLeft w:val="0"/>
      <w:marRight w:val="0"/>
      <w:marTop w:val="0"/>
      <w:marBottom w:val="0"/>
      <w:divBdr>
        <w:top w:val="none" w:sz="0" w:space="0" w:color="auto"/>
        <w:left w:val="none" w:sz="0" w:space="0" w:color="auto"/>
        <w:bottom w:val="none" w:sz="0" w:space="0" w:color="auto"/>
        <w:right w:val="none" w:sz="0" w:space="0" w:color="auto"/>
      </w:divBdr>
    </w:div>
    <w:div w:id="449932998">
      <w:bodyDiv w:val="1"/>
      <w:marLeft w:val="0"/>
      <w:marRight w:val="0"/>
      <w:marTop w:val="0"/>
      <w:marBottom w:val="0"/>
      <w:divBdr>
        <w:top w:val="none" w:sz="0" w:space="0" w:color="auto"/>
        <w:left w:val="none" w:sz="0" w:space="0" w:color="auto"/>
        <w:bottom w:val="none" w:sz="0" w:space="0" w:color="auto"/>
        <w:right w:val="none" w:sz="0" w:space="0" w:color="auto"/>
      </w:divBdr>
      <w:divsChild>
        <w:div w:id="1143615645">
          <w:marLeft w:val="0"/>
          <w:marRight w:val="0"/>
          <w:marTop w:val="0"/>
          <w:marBottom w:val="0"/>
          <w:divBdr>
            <w:top w:val="none" w:sz="0" w:space="0" w:color="auto"/>
            <w:left w:val="none" w:sz="0" w:space="0" w:color="auto"/>
            <w:bottom w:val="none" w:sz="0" w:space="0" w:color="auto"/>
            <w:right w:val="none" w:sz="0" w:space="0" w:color="auto"/>
          </w:divBdr>
        </w:div>
      </w:divsChild>
    </w:div>
    <w:div w:id="463425989">
      <w:bodyDiv w:val="1"/>
      <w:marLeft w:val="0"/>
      <w:marRight w:val="0"/>
      <w:marTop w:val="0"/>
      <w:marBottom w:val="0"/>
      <w:divBdr>
        <w:top w:val="none" w:sz="0" w:space="0" w:color="auto"/>
        <w:left w:val="none" w:sz="0" w:space="0" w:color="auto"/>
        <w:bottom w:val="none" w:sz="0" w:space="0" w:color="auto"/>
        <w:right w:val="none" w:sz="0" w:space="0" w:color="auto"/>
      </w:divBdr>
    </w:div>
    <w:div w:id="466624055">
      <w:bodyDiv w:val="1"/>
      <w:marLeft w:val="0"/>
      <w:marRight w:val="0"/>
      <w:marTop w:val="0"/>
      <w:marBottom w:val="0"/>
      <w:divBdr>
        <w:top w:val="none" w:sz="0" w:space="0" w:color="auto"/>
        <w:left w:val="none" w:sz="0" w:space="0" w:color="auto"/>
        <w:bottom w:val="none" w:sz="0" w:space="0" w:color="auto"/>
        <w:right w:val="none" w:sz="0" w:space="0" w:color="auto"/>
      </w:divBdr>
    </w:div>
    <w:div w:id="468280092">
      <w:bodyDiv w:val="1"/>
      <w:marLeft w:val="0"/>
      <w:marRight w:val="0"/>
      <w:marTop w:val="0"/>
      <w:marBottom w:val="0"/>
      <w:divBdr>
        <w:top w:val="none" w:sz="0" w:space="0" w:color="auto"/>
        <w:left w:val="none" w:sz="0" w:space="0" w:color="auto"/>
        <w:bottom w:val="none" w:sz="0" w:space="0" w:color="auto"/>
        <w:right w:val="none" w:sz="0" w:space="0" w:color="auto"/>
      </w:divBdr>
    </w:div>
    <w:div w:id="507447780">
      <w:bodyDiv w:val="1"/>
      <w:marLeft w:val="0"/>
      <w:marRight w:val="0"/>
      <w:marTop w:val="0"/>
      <w:marBottom w:val="0"/>
      <w:divBdr>
        <w:top w:val="none" w:sz="0" w:space="0" w:color="auto"/>
        <w:left w:val="none" w:sz="0" w:space="0" w:color="auto"/>
        <w:bottom w:val="none" w:sz="0" w:space="0" w:color="auto"/>
        <w:right w:val="none" w:sz="0" w:space="0" w:color="auto"/>
      </w:divBdr>
    </w:div>
    <w:div w:id="511991186">
      <w:bodyDiv w:val="1"/>
      <w:marLeft w:val="0"/>
      <w:marRight w:val="0"/>
      <w:marTop w:val="0"/>
      <w:marBottom w:val="0"/>
      <w:divBdr>
        <w:top w:val="none" w:sz="0" w:space="0" w:color="auto"/>
        <w:left w:val="none" w:sz="0" w:space="0" w:color="auto"/>
        <w:bottom w:val="none" w:sz="0" w:space="0" w:color="auto"/>
        <w:right w:val="none" w:sz="0" w:space="0" w:color="auto"/>
      </w:divBdr>
    </w:div>
    <w:div w:id="512915036">
      <w:bodyDiv w:val="1"/>
      <w:marLeft w:val="0"/>
      <w:marRight w:val="0"/>
      <w:marTop w:val="0"/>
      <w:marBottom w:val="0"/>
      <w:divBdr>
        <w:top w:val="none" w:sz="0" w:space="0" w:color="auto"/>
        <w:left w:val="none" w:sz="0" w:space="0" w:color="auto"/>
        <w:bottom w:val="none" w:sz="0" w:space="0" w:color="auto"/>
        <w:right w:val="none" w:sz="0" w:space="0" w:color="auto"/>
      </w:divBdr>
    </w:div>
    <w:div w:id="527068535">
      <w:bodyDiv w:val="1"/>
      <w:marLeft w:val="0"/>
      <w:marRight w:val="0"/>
      <w:marTop w:val="0"/>
      <w:marBottom w:val="0"/>
      <w:divBdr>
        <w:top w:val="none" w:sz="0" w:space="0" w:color="auto"/>
        <w:left w:val="none" w:sz="0" w:space="0" w:color="auto"/>
        <w:bottom w:val="none" w:sz="0" w:space="0" w:color="auto"/>
        <w:right w:val="none" w:sz="0" w:space="0" w:color="auto"/>
      </w:divBdr>
      <w:divsChild>
        <w:div w:id="245069309">
          <w:marLeft w:val="0"/>
          <w:marRight w:val="0"/>
          <w:marTop w:val="0"/>
          <w:marBottom w:val="0"/>
          <w:divBdr>
            <w:top w:val="none" w:sz="0" w:space="0" w:color="auto"/>
            <w:left w:val="none" w:sz="0" w:space="0" w:color="auto"/>
            <w:bottom w:val="none" w:sz="0" w:space="0" w:color="auto"/>
            <w:right w:val="none" w:sz="0" w:space="0" w:color="auto"/>
          </w:divBdr>
          <w:divsChild>
            <w:div w:id="1509178896">
              <w:marLeft w:val="0"/>
              <w:marRight w:val="0"/>
              <w:marTop w:val="0"/>
              <w:marBottom w:val="4800"/>
              <w:divBdr>
                <w:top w:val="none" w:sz="0" w:space="0" w:color="auto"/>
                <w:left w:val="none" w:sz="0" w:space="0" w:color="auto"/>
                <w:bottom w:val="none" w:sz="0" w:space="0" w:color="auto"/>
                <w:right w:val="none" w:sz="0" w:space="0" w:color="auto"/>
              </w:divBdr>
              <w:divsChild>
                <w:div w:id="2091466512">
                  <w:marLeft w:val="0"/>
                  <w:marRight w:val="0"/>
                  <w:marTop w:val="0"/>
                  <w:marBottom w:val="0"/>
                  <w:divBdr>
                    <w:top w:val="none" w:sz="0" w:space="0" w:color="auto"/>
                    <w:left w:val="none" w:sz="0" w:space="0" w:color="auto"/>
                    <w:bottom w:val="none" w:sz="0" w:space="0" w:color="auto"/>
                    <w:right w:val="none" w:sz="0" w:space="0" w:color="auto"/>
                  </w:divBdr>
                  <w:divsChild>
                    <w:div w:id="2044596488">
                      <w:marLeft w:val="0"/>
                      <w:marRight w:val="0"/>
                      <w:marTop w:val="120"/>
                      <w:marBottom w:val="0"/>
                      <w:divBdr>
                        <w:top w:val="none" w:sz="0" w:space="0" w:color="auto"/>
                        <w:left w:val="none" w:sz="0" w:space="0" w:color="auto"/>
                        <w:bottom w:val="none" w:sz="0" w:space="0" w:color="auto"/>
                        <w:right w:val="none" w:sz="0" w:space="0" w:color="auto"/>
                      </w:divBdr>
                      <w:divsChild>
                        <w:div w:id="394935126">
                          <w:marLeft w:val="0"/>
                          <w:marRight w:val="0"/>
                          <w:marTop w:val="0"/>
                          <w:marBottom w:val="0"/>
                          <w:divBdr>
                            <w:top w:val="none" w:sz="0" w:space="0" w:color="auto"/>
                            <w:left w:val="none" w:sz="0" w:space="0" w:color="auto"/>
                            <w:bottom w:val="none" w:sz="0" w:space="0" w:color="auto"/>
                            <w:right w:val="none" w:sz="0" w:space="0" w:color="auto"/>
                          </w:divBdr>
                          <w:divsChild>
                            <w:div w:id="1121415383">
                              <w:marLeft w:val="0"/>
                              <w:marRight w:val="0"/>
                              <w:marTop w:val="0"/>
                              <w:marBottom w:val="0"/>
                              <w:divBdr>
                                <w:top w:val="none" w:sz="0" w:space="0" w:color="auto"/>
                                <w:left w:val="none" w:sz="0" w:space="0" w:color="auto"/>
                                <w:bottom w:val="none" w:sz="0" w:space="0" w:color="auto"/>
                                <w:right w:val="none" w:sz="0" w:space="0" w:color="auto"/>
                              </w:divBdr>
                              <w:divsChild>
                                <w:div w:id="19015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355694">
          <w:marLeft w:val="-4200"/>
          <w:marRight w:val="0"/>
          <w:marTop w:val="0"/>
          <w:marBottom w:val="0"/>
          <w:divBdr>
            <w:top w:val="none" w:sz="0" w:space="0" w:color="auto"/>
            <w:left w:val="none" w:sz="0" w:space="0" w:color="auto"/>
            <w:bottom w:val="none" w:sz="0" w:space="0" w:color="auto"/>
            <w:right w:val="none" w:sz="0" w:space="0" w:color="auto"/>
          </w:divBdr>
          <w:divsChild>
            <w:div w:id="825241715">
              <w:marLeft w:val="4200"/>
              <w:marRight w:val="0"/>
              <w:marTop w:val="0"/>
              <w:marBottom w:val="0"/>
              <w:divBdr>
                <w:top w:val="none" w:sz="0" w:space="0" w:color="auto"/>
                <w:left w:val="none" w:sz="0" w:space="0" w:color="auto"/>
                <w:bottom w:val="none" w:sz="0" w:space="0" w:color="auto"/>
                <w:right w:val="none" w:sz="0" w:space="0" w:color="auto"/>
              </w:divBdr>
              <w:divsChild>
                <w:div w:id="5796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7707">
      <w:bodyDiv w:val="1"/>
      <w:marLeft w:val="0"/>
      <w:marRight w:val="0"/>
      <w:marTop w:val="0"/>
      <w:marBottom w:val="0"/>
      <w:divBdr>
        <w:top w:val="none" w:sz="0" w:space="0" w:color="auto"/>
        <w:left w:val="none" w:sz="0" w:space="0" w:color="auto"/>
        <w:bottom w:val="none" w:sz="0" w:space="0" w:color="auto"/>
        <w:right w:val="none" w:sz="0" w:space="0" w:color="auto"/>
      </w:divBdr>
    </w:div>
    <w:div w:id="578910150">
      <w:bodyDiv w:val="1"/>
      <w:marLeft w:val="0"/>
      <w:marRight w:val="0"/>
      <w:marTop w:val="0"/>
      <w:marBottom w:val="0"/>
      <w:divBdr>
        <w:top w:val="none" w:sz="0" w:space="0" w:color="auto"/>
        <w:left w:val="none" w:sz="0" w:space="0" w:color="auto"/>
        <w:bottom w:val="none" w:sz="0" w:space="0" w:color="auto"/>
        <w:right w:val="none" w:sz="0" w:space="0" w:color="auto"/>
      </w:divBdr>
      <w:divsChild>
        <w:div w:id="497579207">
          <w:marLeft w:val="0"/>
          <w:marRight w:val="0"/>
          <w:marTop w:val="0"/>
          <w:marBottom w:val="0"/>
          <w:divBdr>
            <w:top w:val="none" w:sz="0" w:space="0" w:color="auto"/>
            <w:left w:val="none" w:sz="0" w:space="0" w:color="auto"/>
            <w:bottom w:val="none" w:sz="0" w:space="0" w:color="auto"/>
            <w:right w:val="none" w:sz="0" w:space="0" w:color="auto"/>
          </w:divBdr>
        </w:div>
      </w:divsChild>
    </w:div>
    <w:div w:id="585963531">
      <w:bodyDiv w:val="1"/>
      <w:marLeft w:val="0"/>
      <w:marRight w:val="0"/>
      <w:marTop w:val="0"/>
      <w:marBottom w:val="0"/>
      <w:divBdr>
        <w:top w:val="none" w:sz="0" w:space="0" w:color="auto"/>
        <w:left w:val="none" w:sz="0" w:space="0" w:color="auto"/>
        <w:bottom w:val="none" w:sz="0" w:space="0" w:color="auto"/>
        <w:right w:val="none" w:sz="0" w:space="0" w:color="auto"/>
      </w:divBdr>
      <w:divsChild>
        <w:div w:id="295991160">
          <w:marLeft w:val="0"/>
          <w:marRight w:val="0"/>
          <w:marTop w:val="0"/>
          <w:marBottom w:val="0"/>
          <w:divBdr>
            <w:top w:val="none" w:sz="0" w:space="0" w:color="auto"/>
            <w:left w:val="none" w:sz="0" w:space="0" w:color="auto"/>
            <w:bottom w:val="none" w:sz="0" w:space="0" w:color="auto"/>
            <w:right w:val="none" w:sz="0" w:space="0" w:color="auto"/>
          </w:divBdr>
        </w:div>
        <w:div w:id="391317522">
          <w:marLeft w:val="0"/>
          <w:marRight w:val="0"/>
          <w:marTop w:val="0"/>
          <w:marBottom w:val="0"/>
          <w:divBdr>
            <w:top w:val="none" w:sz="0" w:space="0" w:color="auto"/>
            <w:left w:val="none" w:sz="0" w:space="0" w:color="auto"/>
            <w:bottom w:val="none" w:sz="0" w:space="0" w:color="auto"/>
            <w:right w:val="none" w:sz="0" w:space="0" w:color="auto"/>
          </w:divBdr>
        </w:div>
        <w:div w:id="1252280563">
          <w:marLeft w:val="0"/>
          <w:marRight w:val="0"/>
          <w:marTop w:val="0"/>
          <w:marBottom w:val="0"/>
          <w:divBdr>
            <w:top w:val="none" w:sz="0" w:space="0" w:color="auto"/>
            <w:left w:val="none" w:sz="0" w:space="0" w:color="auto"/>
            <w:bottom w:val="none" w:sz="0" w:space="0" w:color="auto"/>
            <w:right w:val="none" w:sz="0" w:space="0" w:color="auto"/>
          </w:divBdr>
        </w:div>
        <w:div w:id="1648124249">
          <w:marLeft w:val="0"/>
          <w:marRight w:val="0"/>
          <w:marTop w:val="0"/>
          <w:marBottom w:val="0"/>
          <w:divBdr>
            <w:top w:val="none" w:sz="0" w:space="0" w:color="auto"/>
            <w:left w:val="none" w:sz="0" w:space="0" w:color="auto"/>
            <w:bottom w:val="none" w:sz="0" w:space="0" w:color="auto"/>
            <w:right w:val="none" w:sz="0" w:space="0" w:color="auto"/>
          </w:divBdr>
        </w:div>
        <w:div w:id="1817136923">
          <w:marLeft w:val="0"/>
          <w:marRight w:val="0"/>
          <w:marTop w:val="0"/>
          <w:marBottom w:val="0"/>
          <w:divBdr>
            <w:top w:val="none" w:sz="0" w:space="0" w:color="auto"/>
            <w:left w:val="none" w:sz="0" w:space="0" w:color="auto"/>
            <w:bottom w:val="none" w:sz="0" w:space="0" w:color="auto"/>
            <w:right w:val="none" w:sz="0" w:space="0" w:color="auto"/>
          </w:divBdr>
        </w:div>
      </w:divsChild>
    </w:div>
    <w:div w:id="601450847">
      <w:bodyDiv w:val="1"/>
      <w:marLeft w:val="0"/>
      <w:marRight w:val="0"/>
      <w:marTop w:val="0"/>
      <w:marBottom w:val="0"/>
      <w:divBdr>
        <w:top w:val="none" w:sz="0" w:space="0" w:color="auto"/>
        <w:left w:val="none" w:sz="0" w:space="0" w:color="auto"/>
        <w:bottom w:val="none" w:sz="0" w:space="0" w:color="auto"/>
        <w:right w:val="none" w:sz="0" w:space="0" w:color="auto"/>
      </w:divBdr>
    </w:div>
    <w:div w:id="618952633">
      <w:bodyDiv w:val="1"/>
      <w:marLeft w:val="0"/>
      <w:marRight w:val="0"/>
      <w:marTop w:val="0"/>
      <w:marBottom w:val="0"/>
      <w:divBdr>
        <w:top w:val="none" w:sz="0" w:space="0" w:color="auto"/>
        <w:left w:val="none" w:sz="0" w:space="0" w:color="auto"/>
        <w:bottom w:val="none" w:sz="0" w:space="0" w:color="auto"/>
        <w:right w:val="none" w:sz="0" w:space="0" w:color="auto"/>
      </w:divBdr>
    </w:div>
    <w:div w:id="655841714">
      <w:bodyDiv w:val="1"/>
      <w:marLeft w:val="0"/>
      <w:marRight w:val="0"/>
      <w:marTop w:val="0"/>
      <w:marBottom w:val="0"/>
      <w:divBdr>
        <w:top w:val="none" w:sz="0" w:space="0" w:color="auto"/>
        <w:left w:val="none" w:sz="0" w:space="0" w:color="auto"/>
        <w:bottom w:val="none" w:sz="0" w:space="0" w:color="auto"/>
        <w:right w:val="none" w:sz="0" w:space="0" w:color="auto"/>
      </w:divBdr>
    </w:div>
    <w:div w:id="657684513">
      <w:bodyDiv w:val="1"/>
      <w:marLeft w:val="0"/>
      <w:marRight w:val="0"/>
      <w:marTop w:val="0"/>
      <w:marBottom w:val="0"/>
      <w:divBdr>
        <w:top w:val="none" w:sz="0" w:space="0" w:color="auto"/>
        <w:left w:val="none" w:sz="0" w:space="0" w:color="auto"/>
        <w:bottom w:val="none" w:sz="0" w:space="0" w:color="auto"/>
        <w:right w:val="none" w:sz="0" w:space="0" w:color="auto"/>
      </w:divBdr>
    </w:div>
    <w:div w:id="667944079">
      <w:bodyDiv w:val="1"/>
      <w:marLeft w:val="0"/>
      <w:marRight w:val="0"/>
      <w:marTop w:val="0"/>
      <w:marBottom w:val="0"/>
      <w:divBdr>
        <w:top w:val="none" w:sz="0" w:space="0" w:color="auto"/>
        <w:left w:val="none" w:sz="0" w:space="0" w:color="auto"/>
        <w:bottom w:val="none" w:sz="0" w:space="0" w:color="auto"/>
        <w:right w:val="none" w:sz="0" w:space="0" w:color="auto"/>
      </w:divBdr>
    </w:div>
    <w:div w:id="680544405">
      <w:bodyDiv w:val="1"/>
      <w:marLeft w:val="0"/>
      <w:marRight w:val="0"/>
      <w:marTop w:val="0"/>
      <w:marBottom w:val="0"/>
      <w:divBdr>
        <w:top w:val="none" w:sz="0" w:space="0" w:color="auto"/>
        <w:left w:val="none" w:sz="0" w:space="0" w:color="auto"/>
        <w:bottom w:val="none" w:sz="0" w:space="0" w:color="auto"/>
        <w:right w:val="none" w:sz="0" w:space="0" w:color="auto"/>
      </w:divBdr>
    </w:div>
    <w:div w:id="707267064">
      <w:bodyDiv w:val="1"/>
      <w:marLeft w:val="0"/>
      <w:marRight w:val="0"/>
      <w:marTop w:val="0"/>
      <w:marBottom w:val="0"/>
      <w:divBdr>
        <w:top w:val="none" w:sz="0" w:space="0" w:color="auto"/>
        <w:left w:val="none" w:sz="0" w:space="0" w:color="auto"/>
        <w:bottom w:val="none" w:sz="0" w:space="0" w:color="auto"/>
        <w:right w:val="none" w:sz="0" w:space="0" w:color="auto"/>
      </w:divBdr>
      <w:divsChild>
        <w:div w:id="2013873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371566">
      <w:bodyDiv w:val="1"/>
      <w:marLeft w:val="0"/>
      <w:marRight w:val="0"/>
      <w:marTop w:val="0"/>
      <w:marBottom w:val="0"/>
      <w:divBdr>
        <w:top w:val="none" w:sz="0" w:space="0" w:color="auto"/>
        <w:left w:val="none" w:sz="0" w:space="0" w:color="auto"/>
        <w:bottom w:val="none" w:sz="0" w:space="0" w:color="auto"/>
        <w:right w:val="none" w:sz="0" w:space="0" w:color="auto"/>
      </w:divBdr>
    </w:div>
    <w:div w:id="747194102">
      <w:bodyDiv w:val="1"/>
      <w:marLeft w:val="0"/>
      <w:marRight w:val="0"/>
      <w:marTop w:val="0"/>
      <w:marBottom w:val="0"/>
      <w:divBdr>
        <w:top w:val="none" w:sz="0" w:space="0" w:color="auto"/>
        <w:left w:val="none" w:sz="0" w:space="0" w:color="auto"/>
        <w:bottom w:val="none" w:sz="0" w:space="0" w:color="auto"/>
        <w:right w:val="none" w:sz="0" w:space="0" w:color="auto"/>
      </w:divBdr>
      <w:divsChild>
        <w:div w:id="1391996962">
          <w:marLeft w:val="-4200"/>
          <w:marRight w:val="0"/>
          <w:marTop w:val="0"/>
          <w:marBottom w:val="0"/>
          <w:divBdr>
            <w:top w:val="none" w:sz="0" w:space="0" w:color="auto"/>
            <w:left w:val="none" w:sz="0" w:space="0" w:color="auto"/>
            <w:bottom w:val="none" w:sz="0" w:space="0" w:color="auto"/>
            <w:right w:val="none" w:sz="0" w:space="0" w:color="auto"/>
          </w:divBdr>
          <w:divsChild>
            <w:div w:id="46147475">
              <w:marLeft w:val="4200"/>
              <w:marRight w:val="0"/>
              <w:marTop w:val="0"/>
              <w:marBottom w:val="0"/>
              <w:divBdr>
                <w:top w:val="none" w:sz="0" w:space="0" w:color="auto"/>
                <w:left w:val="none" w:sz="0" w:space="0" w:color="auto"/>
                <w:bottom w:val="none" w:sz="0" w:space="0" w:color="auto"/>
                <w:right w:val="none" w:sz="0" w:space="0" w:color="auto"/>
              </w:divBdr>
              <w:divsChild>
                <w:div w:id="12634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0279">
          <w:marLeft w:val="0"/>
          <w:marRight w:val="0"/>
          <w:marTop w:val="0"/>
          <w:marBottom w:val="0"/>
          <w:divBdr>
            <w:top w:val="none" w:sz="0" w:space="0" w:color="auto"/>
            <w:left w:val="none" w:sz="0" w:space="0" w:color="auto"/>
            <w:bottom w:val="none" w:sz="0" w:space="0" w:color="auto"/>
            <w:right w:val="none" w:sz="0" w:space="0" w:color="auto"/>
          </w:divBdr>
          <w:divsChild>
            <w:div w:id="112290729">
              <w:marLeft w:val="0"/>
              <w:marRight w:val="0"/>
              <w:marTop w:val="0"/>
              <w:marBottom w:val="4800"/>
              <w:divBdr>
                <w:top w:val="none" w:sz="0" w:space="0" w:color="auto"/>
                <w:left w:val="none" w:sz="0" w:space="0" w:color="auto"/>
                <w:bottom w:val="none" w:sz="0" w:space="0" w:color="auto"/>
                <w:right w:val="none" w:sz="0" w:space="0" w:color="auto"/>
              </w:divBdr>
              <w:divsChild>
                <w:div w:id="172307109">
                  <w:marLeft w:val="0"/>
                  <w:marRight w:val="0"/>
                  <w:marTop w:val="0"/>
                  <w:marBottom w:val="0"/>
                  <w:divBdr>
                    <w:top w:val="none" w:sz="0" w:space="0" w:color="auto"/>
                    <w:left w:val="none" w:sz="0" w:space="0" w:color="auto"/>
                    <w:bottom w:val="none" w:sz="0" w:space="0" w:color="auto"/>
                    <w:right w:val="none" w:sz="0" w:space="0" w:color="auto"/>
                  </w:divBdr>
                  <w:divsChild>
                    <w:div w:id="230310603">
                      <w:marLeft w:val="0"/>
                      <w:marRight w:val="0"/>
                      <w:marTop w:val="120"/>
                      <w:marBottom w:val="0"/>
                      <w:divBdr>
                        <w:top w:val="none" w:sz="0" w:space="0" w:color="auto"/>
                        <w:left w:val="none" w:sz="0" w:space="0" w:color="auto"/>
                        <w:bottom w:val="none" w:sz="0" w:space="0" w:color="auto"/>
                        <w:right w:val="none" w:sz="0" w:space="0" w:color="auto"/>
                      </w:divBdr>
                      <w:divsChild>
                        <w:div w:id="1013386064">
                          <w:marLeft w:val="0"/>
                          <w:marRight w:val="0"/>
                          <w:marTop w:val="0"/>
                          <w:marBottom w:val="0"/>
                          <w:divBdr>
                            <w:top w:val="none" w:sz="0" w:space="0" w:color="auto"/>
                            <w:left w:val="none" w:sz="0" w:space="0" w:color="auto"/>
                            <w:bottom w:val="none" w:sz="0" w:space="0" w:color="auto"/>
                            <w:right w:val="none" w:sz="0" w:space="0" w:color="auto"/>
                          </w:divBdr>
                          <w:divsChild>
                            <w:div w:id="1450516684">
                              <w:marLeft w:val="0"/>
                              <w:marRight w:val="0"/>
                              <w:marTop w:val="0"/>
                              <w:marBottom w:val="0"/>
                              <w:divBdr>
                                <w:top w:val="none" w:sz="0" w:space="0" w:color="auto"/>
                                <w:left w:val="none" w:sz="0" w:space="0" w:color="auto"/>
                                <w:bottom w:val="none" w:sz="0" w:space="0" w:color="auto"/>
                                <w:right w:val="none" w:sz="0" w:space="0" w:color="auto"/>
                              </w:divBdr>
                              <w:divsChild>
                                <w:div w:id="2144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585349">
      <w:bodyDiv w:val="1"/>
      <w:marLeft w:val="0"/>
      <w:marRight w:val="0"/>
      <w:marTop w:val="0"/>
      <w:marBottom w:val="0"/>
      <w:divBdr>
        <w:top w:val="none" w:sz="0" w:space="0" w:color="auto"/>
        <w:left w:val="none" w:sz="0" w:space="0" w:color="auto"/>
        <w:bottom w:val="none" w:sz="0" w:space="0" w:color="auto"/>
        <w:right w:val="none" w:sz="0" w:space="0" w:color="auto"/>
      </w:divBdr>
      <w:divsChild>
        <w:div w:id="83035575">
          <w:marLeft w:val="0"/>
          <w:marRight w:val="0"/>
          <w:marTop w:val="0"/>
          <w:marBottom w:val="0"/>
          <w:divBdr>
            <w:top w:val="none" w:sz="0" w:space="0" w:color="auto"/>
            <w:left w:val="none" w:sz="0" w:space="0" w:color="auto"/>
            <w:bottom w:val="none" w:sz="0" w:space="0" w:color="auto"/>
            <w:right w:val="none" w:sz="0" w:space="0" w:color="auto"/>
          </w:divBdr>
          <w:divsChild>
            <w:div w:id="1015500509">
              <w:marLeft w:val="0"/>
              <w:marRight w:val="0"/>
              <w:marTop w:val="0"/>
              <w:marBottom w:val="4800"/>
              <w:divBdr>
                <w:top w:val="none" w:sz="0" w:space="0" w:color="auto"/>
                <w:left w:val="none" w:sz="0" w:space="0" w:color="auto"/>
                <w:bottom w:val="none" w:sz="0" w:space="0" w:color="auto"/>
                <w:right w:val="none" w:sz="0" w:space="0" w:color="auto"/>
              </w:divBdr>
              <w:divsChild>
                <w:div w:id="463623803">
                  <w:marLeft w:val="0"/>
                  <w:marRight w:val="0"/>
                  <w:marTop w:val="0"/>
                  <w:marBottom w:val="0"/>
                  <w:divBdr>
                    <w:top w:val="none" w:sz="0" w:space="0" w:color="auto"/>
                    <w:left w:val="none" w:sz="0" w:space="0" w:color="auto"/>
                    <w:bottom w:val="none" w:sz="0" w:space="0" w:color="auto"/>
                    <w:right w:val="none" w:sz="0" w:space="0" w:color="auto"/>
                  </w:divBdr>
                  <w:divsChild>
                    <w:div w:id="1611277228">
                      <w:marLeft w:val="0"/>
                      <w:marRight w:val="0"/>
                      <w:marTop w:val="120"/>
                      <w:marBottom w:val="0"/>
                      <w:divBdr>
                        <w:top w:val="none" w:sz="0" w:space="0" w:color="auto"/>
                        <w:left w:val="none" w:sz="0" w:space="0" w:color="auto"/>
                        <w:bottom w:val="none" w:sz="0" w:space="0" w:color="auto"/>
                        <w:right w:val="none" w:sz="0" w:space="0" w:color="auto"/>
                      </w:divBdr>
                      <w:divsChild>
                        <w:div w:id="835462176">
                          <w:marLeft w:val="0"/>
                          <w:marRight w:val="0"/>
                          <w:marTop w:val="0"/>
                          <w:marBottom w:val="0"/>
                          <w:divBdr>
                            <w:top w:val="none" w:sz="0" w:space="0" w:color="auto"/>
                            <w:left w:val="none" w:sz="0" w:space="0" w:color="auto"/>
                            <w:bottom w:val="none" w:sz="0" w:space="0" w:color="auto"/>
                            <w:right w:val="none" w:sz="0" w:space="0" w:color="auto"/>
                          </w:divBdr>
                          <w:divsChild>
                            <w:div w:id="2017924756">
                              <w:marLeft w:val="0"/>
                              <w:marRight w:val="0"/>
                              <w:marTop w:val="0"/>
                              <w:marBottom w:val="0"/>
                              <w:divBdr>
                                <w:top w:val="none" w:sz="0" w:space="0" w:color="auto"/>
                                <w:left w:val="none" w:sz="0" w:space="0" w:color="auto"/>
                                <w:bottom w:val="none" w:sz="0" w:space="0" w:color="auto"/>
                                <w:right w:val="none" w:sz="0" w:space="0" w:color="auto"/>
                              </w:divBdr>
                              <w:divsChild>
                                <w:div w:id="18939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061727">
      <w:bodyDiv w:val="1"/>
      <w:marLeft w:val="0"/>
      <w:marRight w:val="0"/>
      <w:marTop w:val="0"/>
      <w:marBottom w:val="0"/>
      <w:divBdr>
        <w:top w:val="none" w:sz="0" w:space="0" w:color="auto"/>
        <w:left w:val="none" w:sz="0" w:space="0" w:color="auto"/>
        <w:bottom w:val="none" w:sz="0" w:space="0" w:color="auto"/>
        <w:right w:val="none" w:sz="0" w:space="0" w:color="auto"/>
      </w:divBdr>
    </w:div>
    <w:div w:id="797920005">
      <w:bodyDiv w:val="1"/>
      <w:marLeft w:val="0"/>
      <w:marRight w:val="0"/>
      <w:marTop w:val="0"/>
      <w:marBottom w:val="0"/>
      <w:divBdr>
        <w:top w:val="none" w:sz="0" w:space="0" w:color="auto"/>
        <w:left w:val="none" w:sz="0" w:space="0" w:color="auto"/>
        <w:bottom w:val="none" w:sz="0" w:space="0" w:color="auto"/>
        <w:right w:val="none" w:sz="0" w:space="0" w:color="auto"/>
      </w:divBdr>
      <w:divsChild>
        <w:div w:id="294524550">
          <w:marLeft w:val="0"/>
          <w:marRight w:val="0"/>
          <w:marTop w:val="0"/>
          <w:marBottom w:val="0"/>
          <w:divBdr>
            <w:top w:val="none" w:sz="0" w:space="0" w:color="auto"/>
            <w:left w:val="none" w:sz="0" w:space="0" w:color="auto"/>
            <w:bottom w:val="none" w:sz="0" w:space="0" w:color="auto"/>
            <w:right w:val="none" w:sz="0" w:space="0" w:color="auto"/>
          </w:divBdr>
        </w:div>
      </w:divsChild>
    </w:div>
    <w:div w:id="802188140">
      <w:bodyDiv w:val="1"/>
      <w:marLeft w:val="0"/>
      <w:marRight w:val="0"/>
      <w:marTop w:val="0"/>
      <w:marBottom w:val="0"/>
      <w:divBdr>
        <w:top w:val="none" w:sz="0" w:space="0" w:color="auto"/>
        <w:left w:val="none" w:sz="0" w:space="0" w:color="auto"/>
        <w:bottom w:val="none" w:sz="0" w:space="0" w:color="auto"/>
        <w:right w:val="none" w:sz="0" w:space="0" w:color="auto"/>
      </w:divBdr>
    </w:div>
    <w:div w:id="815416744">
      <w:bodyDiv w:val="1"/>
      <w:marLeft w:val="0"/>
      <w:marRight w:val="0"/>
      <w:marTop w:val="0"/>
      <w:marBottom w:val="0"/>
      <w:divBdr>
        <w:top w:val="none" w:sz="0" w:space="0" w:color="auto"/>
        <w:left w:val="none" w:sz="0" w:space="0" w:color="auto"/>
        <w:bottom w:val="none" w:sz="0" w:space="0" w:color="auto"/>
        <w:right w:val="none" w:sz="0" w:space="0" w:color="auto"/>
      </w:divBdr>
    </w:div>
    <w:div w:id="819005321">
      <w:bodyDiv w:val="1"/>
      <w:marLeft w:val="0"/>
      <w:marRight w:val="0"/>
      <w:marTop w:val="0"/>
      <w:marBottom w:val="0"/>
      <w:divBdr>
        <w:top w:val="none" w:sz="0" w:space="0" w:color="auto"/>
        <w:left w:val="none" w:sz="0" w:space="0" w:color="auto"/>
        <w:bottom w:val="none" w:sz="0" w:space="0" w:color="auto"/>
        <w:right w:val="none" w:sz="0" w:space="0" w:color="auto"/>
      </w:divBdr>
    </w:div>
    <w:div w:id="824780826">
      <w:bodyDiv w:val="1"/>
      <w:marLeft w:val="0"/>
      <w:marRight w:val="0"/>
      <w:marTop w:val="0"/>
      <w:marBottom w:val="0"/>
      <w:divBdr>
        <w:top w:val="none" w:sz="0" w:space="0" w:color="auto"/>
        <w:left w:val="none" w:sz="0" w:space="0" w:color="auto"/>
        <w:bottom w:val="none" w:sz="0" w:space="0" w:color="auto"/>
        <w:right w:val="none" w:sz="0" w:space="0" w:color="auto"/>
      </w:divBdr>
    </w:div>
    <w:div w:id="839849670">
      <w:bodyDiv w:val="1"/>
      <w:marLeft w:val="0"/>
      <w:marRight w:val="0"/>
      <w:marTop w:val="0"/>
      <w:marBottom w:val="0"/>
      <w:divBdr>
        <w:top w:val="none" w:sz="0" w:space="0" w:color="auto"/>
        <w:left w:val="none" w:sz="0" w:space="0" w:color="auto"/>
        <w:bottom w:val="none" w:sz="0" w:space="0" w:color="auto"/>
        <w:right w:val="none" w:sz="0" w:space="0" w:color="auto"/>
      </w:divBdr>
    </w:div>
    <w:div w:id="848904721">
      <w:bodyDiv w:val="1"/>
      <w:marLeft w:val="0"/>
      <w:marRight w:val="0"/>
      <w:marTop w:val="0"/>
      <w:marBottom w:val="0"/>
      <w:divBdr>
        <w:top w:val="none" w:sz="0" w:space="0" w:color="auto"/>
        <w:left w:val="none" w:sz="0" w:space="0" w:color="auto"/>
        <w:bottom w:val="none" w:sz="0" w:space="0" w:color="auto"/>
        <w:right w:val="none" w:sz="0" w:space="0" w:color="auto"/>
      </w:divBdr>
      <w:divsChild>
        <w:div w:id="1752921641">
          <w:marLeft w:val="0"/>
          <w:marRight w:val="0"/>
          <w:marTop w:val="0"/>
          <w:marBottom w:val="0"/>
          <w:divBdr>
            <w:top w:val="none" w:sz="0" w:space="0" w:color="auto"/>
            <w:left w:val="none" w:sz="0" w:space="0" w:color="auto"/>
            <w:bottom w:val="none" w:sz="0" w:space="0" w:color="auto"/>
            <w:right w:val="none" w:sz="0" w:space="0" w:color="auto"/>
          </w:divBdr>
        </w:div>
      </w:divsChild>
    </w:div>
    <w:div w:id="858734897">
      <w:bodyDiv w:val="1"/>
      <w:marLeft w:val="0"/>
      <w:marRight w:val="0"/>
      <w:marTop w:val="0"/>
      <w:marBottom w:val="0"/>
      <w:divBdr>
        <w:top w:val="none" w:sz="0" w:space="0" w:color="auto"/>
        <w:left w:val="none" w:sz="0" w:space="0" w:color="auto"/>
        <w:bottom w:val="none" w:sz="0" w:space="0" w:color="auto"/>
        <w:right w:val="none" w:sz="0" w:space="0" w:color="auto"/>
      </w:divBdr>
    </w:div>
    <w:div w:id="874737515">
      <w:bodyDiv w:val="1"/>
      <w:marLeft w:val="0"/>
      <w:marRight w:val="0"/>
      <w:marTop w:val="0"/>
      <w:marBottom w:val="0"/>
      <w:divBdr>
        <w:top w:val="none" w:sz="0" w:space="0" w:color="auto"/>
        <w:left w:val="none" w:sz="0" w:space="0" w:color="auto"/>
        <w:bottom w:val="none" w:sz="0" w:space="0" w:color="auto"/>
        <w:right w:val="none" w:sz="0" w:space="0" w:color="auto"/>
      </w:divBdr>
      <w:divsChild>
        <w:div w:id="1060056282">
          <w:marLeft w:val="0"/>
          <w:marRight w:val="0"/>
          <w:marTop w:val="0"/>
          <w:marBottom w:val="0"/>
          <w:divBdr>
            <w:top w:val="none" w:sz="0" w:space="0" w:color="auto"/>
            <w:left w:val="none" w:sz="0" w:space="0" w:color="auto"/>
            <w:bottom w:val="none" w:sz="0" w:space="0" w:color="auto"/>
            <w:right w:val="none" w:sz="0" w:space="0" w:color="auto"/>
          </w:divBdr>
        </w:div>
      </w:divsChild>
    </w:div>
    <w:div w:id="906841781">
      <w:bodyDiv w:val="1"/>
      <w:marLeft w:val="0"/>
      <w:marRight w:val="0"/>
      <w:marTop w:val="0"/>
      <w:marBottom w:val="0"/>
      <w:divBdr>
        <w:top w:val="none" w:sz="0" w:space="0" w:color="auto"/>
        <w:left w:val="none" w:sz="0" w:space="0" w:color="auto"/>
        <w:bottom w:val="none" w:sz="0" w:space="0" w:color="auto"/>
        <w:right w:val="none" w:sz="0" w:space="0" w:color="auto"/>
      </w:divBdr>
    </w:div>
    <w:div w:id="935478289">
      <w:bodyDiv w:val="1"/>
      <w:marLeft w:val="0"/>
      <w:marRight w:val="0"/>
      <w:marTop w:val="0"/>
      <w:marBottom w:val="0"/>
      <w:divBdr>
        <w:top w:val="none" w:sz="0" w:space="0" w:color="auto"/>
        <w:left w:val="none" w:sz="0" w:space="0" w:color="auto"/>
        <w:bottom w:val="none" w:sz="0" w:space="0" w:color="auto"/>
        <w:right w:val="none" w:sz="0" w:space="0" w:color="auto"/>
      </w:divBdr>
    </w:div>
    <w:div w:id="939722797">
      <w:bodyDiv w:val="1"/>
      <w:marLeft w:val="0"/>
      <w:marRight w:val="0"/>
      <w:marTop w:val="0"/>
      <w:marBottom w:val="0"/>
      <w:divBdr>
        <w:top w:val="none" w:sz="0" w:space="0" w:color="auto"/>
        <w:left w:val="none" w:sz="0" w:space="0" w:color="auto"/>
        <w:bottom w:val="none" w:sz="0" w:space="0" w:color="auto"/>
        <w:right w:val="none" w:sz="0" w:space="0" w:color="auto"/>
      </w:divBdr>
    </w:div>
    <w:div w:id="956717601">
      <w:bodyDiv w:val="1"/>
      <w:marLeft w:val="0"/>
      <w:marRight w:val="0"/>
      <w:marTop w:val="0"/>
      <w:marBottom w:val="0"/>
      <w:divBdr>
        <w:top w:val="none" w:sz="0" w:space="0" w:color="auto"/>
        <w:left w:val="none" w:sz="0" w:space="0" w:color="auto"/>
        <w:bottom w:val="none" w:sz="0" w:space="0" w:color="auto"/>
        <w:right w:val="none" w:sz="0" w:space="0" w:color="auto"/>
      </w:divBdr>
      <w:divsChild>
        <w:div w:id="1572157358">
          <w:marLeft w:val="-4200"/>
          <w:marRight w:val="0"/>
          <w:marTop w:val="0"/>
          <w:marBottom w:val="0"/>
          <w:divBdr>
            <w:top w:val="none" w:sz="0" w:space="0" w:color="auto"/>
            <w:left w:val="none" w:sz="0" w:space="0" w:color="auto"/>
            <w:bottom w:val="none" w:sz="0" w:space="0" w:color="auto"/>
            <w:right w:val="none" w:sz="0" w:space="0" w:color="auto"/>
          </w:divBdr>
          <w:divsChild>
            <w:div w:id="1293100103">
              <w:marLeft w:val="4200"/>
              <w:marRight w:val="0"/>
              <w:marTop w:val="0"/>
              <w:marBottom w:val="0"/>
              <w:divBdr>
                <w:top w:val="none" w:sz="0" w:space="0" w:color="auto"/>
                <w:left w:val="none" w:sz="0" w:space="0" w:color="auto"/>
                <w:bottom w:val="none" w:sz="0" w:space="0" w:color="auto"/>
                <w:right w:val="none" w:sz="0" w:space="0" w:color="auto"/>
              </w:divBdr>
              <w:divsChild>
                <w:div w:id="11158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6337">
          <w:marLeft w:val="0"/>
          <w:marRight w:val="0"/>
          <w:marTop w:val="0"/>
          <w:marBottom w:val="0"/>
          <w:divBdr>
            <w:top w:val="none" w:sz="0" w:space="0" w:color="auto"/>
            <w:left w:val="none" w:sz="0" w:space="0" w:color="auto"/>
            <w:bottom w:val="none" w:sz="0" w:space="0" w:color="auto"/>
            <w:right w:val="none" w:sz="0" w:space="0" w:color="auto"/>
          </w:divBdr>
          <w:divsChild>
            <w:div w:id="1907714829">
              <w:marLeft w:val="0"/>
              <w:marRight w:val="0"/>
              <w:marTop w:val="0"/>
              <w:marBottom w:val="4800"/>
              <w:divBdr>
                <w:top w:val="none" w:sz="0" w:space="0" w:color="auto"/>
                <w:left w:val="none" w:sz="0" w:space="0" w:color="auto"/>
                <w:bottom w:val="none" w:sz="0" w:space="0" w:color="auto"/>
                <w:right w:val="none" w:sz="0" w:space="0" w:color="auto"/>
              </w:divBdr>
              <w:divsChild>
                <w:div w:id="247156451">
                  <w:marLeft w:val="0"/>
                  <w:marRight w:val="0"/>
                  <w:marTop w:val="0"/>
                  <w:marBottom w:val="0"/>
                  <w:divBdr>
                    <w:top w:val="none" w:sz="0" w:space="0" w:color="auto"/>
                    <w:left w:val="none" w:sz="0" w:space="0" w:color="auto"/>
                    <w:bottom w:val="none" w:sz="0" w:space="0" w:color="auto"/>
                    <w:right w:val="none" w:sz="0" w:space="0" w:color="auto"/>
                  </w:divBdr>
                  <w:divsChild>
                    <w:div w:id="544609262">
                      <w:marLeft w:val="0"/>
                      <w:marRight w:val="0"/>
                      <w:marTop w:val="12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2098819405">
                              <w:marLeft w:val="0"/>
                              <w:marRight w:val="0"/>
                              <w:marTop w:val="0"/>
                              <w:marBottom w:val="0"/>
                              <w:divBdr>
                                <w:top w:val="none" w:sz="0" w:space="0" w:color="auto"/>
                                <w:left w:val="none" w:sz="0" w:space="0" w:color="auto"/>
                                <w:bottom w:val="none" w:sz="0" w:space="0" w:color="auto"/>
                                <w:right w:val="none" w:sz="0" w:space="0" w:color="auto"/>
                              </w:divBdr>
                              <w:divsChild>
                                <w:div w:id="15925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033479">
      <w:bodyDiv w:val="1"/>
      <w:marLeft w:val="0"/>
      <w:marRight w:val="0"/>
      <w:marTop w:val="0"/>
      <w:marBottom w:val="0"/>
      <w:divBdr>
        <w:top w:val="none" w:sz="0" w:space="0" w:color="auto"/>
        <w:left w:val="none" w:sz="0" w:space="0" w:color="auto"/>
        <w:bottom w:val="none" w:sz="0" w:space="0" w:color="auto"/>
        <w:right w:val="none" w:sz="0" w:space="0" w:color="auto"/>
      </w:divBdr>
    </w:div>
    <w:div w:id="1071584440">
      <w:bodyDiv w:val="1"/>
      <w:marLeft w:val="0"/>
      <w:marRight w:val="0"/>
      <w:marTop w:val="0"/>
      <w:marBottom w:val="0"/>
      <w:divBdr>
        <w:top w:val="none" w:sz="0" w:space="0" w:color="auto"/>
        <w:left w:val="none" w:sz="0" w:space="0" w:color="auto"/>
        <w:bottom w:val="none" w:sz="0" w:space="0" w:color="auto"/>
        <w:right w:val="none" w:sz="0" w:space="0" w:color="auto"/>
      </w:divBdr>
    </w:div>
    <w:div w:id="1087116864">
      <w:bodyDiv w:val="1"/>
      <w:marLeft w:val="0"/>
      <w:marRight w:val="0"/>
      <w:marTop w:val="0"/>
      <w:marBottom w:val="0"/>
      <w:divBdr>
        <w:top w:val="none" w:sz="0" w:space="0" w:color="auto"/>
        <w:left w:val="none" w:sz="0" w:space="0" w:color="auto"/>
        <w:bottom w:val="none" w:sz="0" w:space="0" w:color="auto"/>
        <w:right w:val="none" w:sz="0" w:space="0" w:color="auto"/>
      </w:divBdr>
    </w:div>
    <w:div w:id="1139106306">
      <w:bodyDiv w:val="1"/>
      <w:marLeft w:val="0"/>
      <w:marRight w:val="0"/>
      <w:marTop w:val="0"/>
      <w:marBottom w:val="0"/>
      <w:divBdr>
        <w:top w:val="none" w:sz="0" w:space="0" w:color="auto"/>
        <w:left w:val="none" w:sz="0" w:space="0" w:color="auto"/>
        <w:bottom w:val="none" w:sz="0" w:space="0" w:color="auto"/>
        <w:right w:val="none" w:sz="0" w:space="0" w:color="auto"/>
      </w:divBdr>
      <w:divsChild>
        <w:div w:id="237517422">
          <w:marLeft w:val="0"/>
          <w:marRight w:val="0"/>
          <w:marTop w:val="0"/>
          <w:marBottom w:val="0"/>
          <w:divBdr>
            <w:top w:val="none" w:sz="0" w:space="0" w:color="auto"/>
            <w:left w:val="none" w:sz="0" w:space="0" w:color="auto"/>
            <w:bottom w:val="none" w:sz="0" w:space="0" w:color="auto"/>
            <w:right w:val="none" w:sz="0" w:space="0" w:color="auto"/>
          </w:divBdr>
          <w:divsChild>
            <w:div w:id="1913004458">
              <w:marLeft w:val="0"/>
              <w:marRight w:val="0"/>
              <w:marTop w:val="0"/>
              <w:marBottom w:val="4800"/>
              <w:divBdr>
                <w:top w:val="none" w:sz="0" w:space="0" w:color="auto"/>
                <w:left w:val="none" w:sz="0" w:space="0" w:color="auto"/>
                <w:bottom w:val="none" w:sz="0" w:space="0" w:color="auto"/>
                <w:right w:val="none" w:sz="0" w:space="0" w:color="auto"/>
              </w:divBdr>
              <w:divsChild>
                <w:div w:id="1694065687">
                  <w:marLeft w:val="0"/>
                  <w:marRight w:val="0"/>
                  <w:marTop w:val="0"/>
                  <w:marBottom w:val="0"/>
                  <w:divBdr>
                    <w:top w:val="none" w:sz="0" w:space="0" w:color="auto"/>
                    <w:left w:val="none" w:sz="0" w:space="0" w:color="auto"/>
                    <w:bottom w:val="none" w:sz="0" w:space="0" w:color="auto"/>
                    <w:right w:val="none" w:sz="0" w:space="0" w:color="auto"/>
                  </w:divBdr>
                  <w:divsChild>
                    <w:div w:id="1192450954">
                      <w:marLeft w:val="0"/>
                      <w:marRight w:val="0"/>
                      <w:marTop w:val="120"/>
                      <w:marBottom w:val="0"/>
                      <w:divBdr>
                        <w:top w:val="none" w:sz="0" w:space="0" w:color="auto"/>
                        <w:left w:val="none" w:sz="0" w:space="0" w:color="auto"/>
                        <w:bottom w:val="none" w:sz="0" w:space="0" w:color="auto"/>
                        <w:right w:val="none" w:sz="0" w:space="0" w:color="auto"/>
                      </w:divBdr>
                      <w:divsChild>
                        <w:div w:id="1043138869">
                          <w:marLeft w:val="0"/>
                          <w:marRight w:val="0"/>
                          <w:marTop w:val="0"/>
                          <w:marBottom w:val="0"/>
                          <w:divBdr>
                            <w:top w:val="none" w:sz="0" w:space="0" w:color="auto"/>
                            <w:left w:val="none" w:sz="0" w:space="0" w:color="auto"/>
                            <w:bottom w:val="none" w:sz="0" w:space="0" w:color="auto"/>
                            <w:right w:val="none" w:sz="0" w:space="0" w:color="auto"/>
                          </w:divBdr>
                          <w:divsChild>
                            <w:div w:id="348216511">
                              <w:marLeft w:val="0"/>
                              <w:marRight w:val="0"/>
                              <w:marTop w:val="0"/>
                              <w:marBottom w:val="0"/>
                              <w:divBdr>
                                <w:top w:val="none" w:sz="0" w:space="0" w:color="auto"/>
                                <w:left w:val="none" w:sz="0" w:space="0" w:color="auto"/>
                                <w:bottom w:val="none" w:sz="0" w:space="0" w:color="auto"/>
                                <w:right w:val="none" w:sz="0" w:space="0" w:color="auto"/>
                              </w:divBdr>
                              <w:divsChild>
                                <w:div w:id="544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195507">
      <w:bodyDiv w:val="1"/>
      <w:marLeft w:val="0"/>
      <w:marRight w:val="0"/>
      <w:marTop w:val="0"/>
      <w:marBottom w:val="0"/>
      <w:divBdr>
        <w:top w:val="none" w:sz="0" w:space="0" w:color="auto"/>
        <w:left w:val="none" w:sz="0" w:space="0" w:color="auto"/>
        <w:bottom w:val="none" w:sz="0" w:space="0" w:color="auto"/>
        <w:right w:val="none" w:sz="0" w:space="0" w:color="auto"/>
      </w:divBdr>
      <w:divsChild>
        <w:div w:id="418137808">
          <w:marLeft w:val="0"/>
          <w:marRight w:val="0"/>
          <w:marTop w:val="0"/>
          <w:marBottom w:val="0"/>
          <w:divBdr>
            <w:top w:val="none" w:sz="0" w:space="0" w:color="auto"/>
            <w:left w:val="none" w:sz="0" w:space="0" w:color="auto"/>
            <w:bottom w:val="none" w:sz="0" w:space="0" w:color="auto"/>
            <w:right w:val="none" w:sz="0" w:space="0" w:color="auto"/>
          </w:divBdr>
        </w:div>
      </w:divsChild>
    </w:div>
    <w:div w:id="1188562287">
      <w:bodyDiv w:val="1"/>
      <w:marLeft w:val="0"/>
      <w:marRight w:val="0"/>
      <w:marTop w:val="0"/>
      <w:marBottom w:val="0"/>
      <w:divBdr>
        <w:top w:val="none" w:sz="0" w:space="0" w:color="auto"/>
        <w:left w:val="none" w:sz="0" w:space="0" w:color="auto"/>
        <w:bottom w:val="none" w:sz="0" w:space="0" w:color="auto"/>
        <w:right w:val="none" w:sz="0" w:space="0" w:color="auto"/>
      </w:divBdr>
    </w:div>
    <w:div w:id="11925720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351">
          <w:marLeft w:val="0"/>
          <w:marRight w:val="0"/>
          <w:marTop w:val="0"/>
          <w:marBottom w:val="0"/>
          <w:divBdr>
            <w:top w:val="none" w:sz="0" w:space="0" w:color="auto"/>
            <w:left w:val="none" w:sz="0" w:space="0" w:color="auto"/>
            <w:bottom w:val="none" w:sz="0" w:space="0" w:color="auto"/>
            <w:right w:val="none" w:sz="0" w:space="0" w:color="auto"/>
          </w:divBdr>
        </w:div>
      </w:divsChild>
    </w:div>
    <w:div w:id="1218204939">
      <w:bodyDiv w:val="1"/>
      <w:marLeft w:val="0"/>
      <w:marRight w:val="0"/>
      <w:marTop w:val="0"/>
      <w:marBottom w:val="0"/>
      <w:divBdr>
        <w:top w:val="none" w:sz="0" w:space="0" w:color="auto"/>
        <w:left w:val="none" w:sz="0" w:space="0" w:color="auto"/>
        <w:bottom w:val="none" w:sz="0" w:space="0" w:color="auto"/>
        <w:right w:val="none" w:sz="0" w:space="0" w:color="auto"/>
      </w:divBdr>
      <w:divsChild>
        <w:div w:id="667101354">
          <w:marLeft w:val="0"/>
          <w:marRight w:val="0"/>
          <w:marTop w:val="0"/>
          <w:marBottom w:val="0"/>
          <w:divBdr>
            <w:top w:val="none" w:sz="0" w:space="0" w:color="auto"/>
            <w:left w:val="none" w:sz="0" w:space="0" w:color="auto"/>
            <w:bottom w:val="none" w:sz="0" w:space="0" w:color="auto"/>
            <w:right w:val="none" w:sz="0" w:space="0" w:color="auto"/>
          </w:divBdr>
          <w:divsChild>
            <w:div w:id="725488566">
              <w:marLeft w:val="0"/>
              <w:marRight w:val="0"/>
              <w:marTop w:val="0"/>
              <w:marBottom w:val="4800"/>
              <w:divBdr>
                <w:top w:val="none" w:sz="0" w:space="0" w:color="auto"/>
                <w:left w:val="none" w:sz="0" w:space="0" w:color="auto"/>
                <w:bottom w:val="none" w:sz="0" w:space="0" w:color="auto"/>
                <w:right w:val="none" w:sz="0" w:space="0" w:color="auto"/>
              </w:divBdr>
              <w:divsChild>
                <w:div w:id="397557979">
                  <w:marLeft w:val="0"/>
                  <w:marRight w:val="0"/>
                  <w:marTop w:val="0"/>
                  <w:marBottom w:val="0"/>
                  <w:divBdr>
                    <w:top w:val="none" w:sz="0" w:space="0" w:color="auto"/>
                    <w:left w:val="none" w:sz="0" w:space="0" w:color="auto"/>
                    <w:bottom w:val="none" w:sz="0" w:space="0" w:color="auto"/>
                    <w:right w:val="none" w:sz="0" w:space="0" w:color="auto"/>
                  </w:divBdr>
                  <w:divsChild>
                    <w:div w:id="949974358">
                      <w:marLeft w:val="0"/>
                      <w:marRight w:val="0"/>
                      <w:marTop w:val="120"/>
                      <w:marBottom w:val="0"/>
                      <w:divBdr>
                        <w:top w:val="none" w:sz="0" w:space="0" w:color="auto"/>
                        <w:left w:val="none" w:sz="0" w:space="0" w:color="auto"/>
                        <w:bottom w:val="none" w:sz="0" w:space="0" w:color="auto"/>
                        <w:right w:val="none" w:sz="0" w:space="0" w:color="auto"/>
                      </w:divBdr>
                      <w:divsChild>
                        <w:div w:id="1719209232">
                          <w:marLeft w:val="0"/>
                          <w:marRight w:val="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sChild>
                                <w:div w:id="12510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990402">
      <w:bodyDiv w:val="1"/>
      <w:marLeft w:val="0"/>
      <w:marRight w:val="0"/>
      <w:marTop w:val="0"/>
      <w:marBottom w:val="0"/>
      <w:divBdr>
        <w:top w:val="none" w:sz="0" w:space="0" w:color="auto"/>
        <w:left w:val="none" w:sz="0" w:space="0" w:color="auto"/>
        <w:bottom w:val="none" w:sz="0" w:space="0" w:color="auto"/>
        <w:right w:val="none" w:sz="0" w:space="0" w:color="auto"/>
      </w:divBdr>
    </w:div>
    <w:div w:id="1228760756">
      <w:bodyDiv w:val="1"/>
      <w:marLeft w:val="0"/>
      <w:marRight w:val="0"/>
      <w:marTop w:val="0"/>
      <w:marBottom w:val="0"/>
      <w:divBdr>
        <w:top w:val="none" w:sz="0" w:space="0" w:color="auto"/>
        <w:left w:val="none" w:sz="0" w:space="0" w:color="auto"/>
        <w:bottom w:val="none" w:sz="0" w:space="0" w:color="auto"/>
        <w:right w:val="none" w:sz="0" w:space="0" w:color="auto"/>
      </w:divBdr>
    </w:div>
    <w:div w:id="1245803603">
      <w:bodyDiv w:val="1"/>
      <w:marLeft w:val="0"/>
      <w:marRight w:val="0"/>
      <w:marTop w:val="0"/>
      <w:marBottom w:val="0"/>
      <w:divBdr>
        <w:top w:val="none" w:sz="0" w:space="0" w:color="auto"/>
        <w:left w:val="none" w:sz="0" w:space="0" w:color="auto"/>
        <w:bottom w:val="none" w:sz="0" w:space="0" w:color="auto"/>
        <w:right w:val="none" w:sz="0" w:space="0" w:color="auto"/>
      </w:divBdr>
    </w:div>
    <w:div w:id="1251156229">
      <w:bodyDiv w:val="1"/>
      <w:marLeft w:val="0"/>
      <w:marRight w:val="0"/>
      <w:marTop w:val="0"/>
      <w:marBottom w:val="0"/>
      <w:divBdr>
        <w:top w:val="none" w:sz="0" w:space="0" w:color="auto"/>
        <w:left w:val="none" w:sz="0" w:space="0" w:color="auto"/>
        <w:bottom w:val="none" w:sz="0" w:space="0" w:color="auto"/>
        <w:right w:val="none" w:sz="0" w:space="0" w:color="auto"/>
      </w:divBdr>
      <w:divsChild>
        <w:div w:id="479003485">
          <w:marLeft w:val="0"/>
          <w:marRight w:val="0"/>
          <w:marTop w:val="0"/>
          <w:marBottom w:val="0"/>
          <w:divBdr>
            <w:top w:val="none" w:sz="0" w:space="0" w:color="auto"/>
            <w:left w:val="none" w:sz="0" w:space="0" w:color="auto"/>
            <w:bottom w:val="none" w:sz="0" w:space="0" w:color="auto"/>
            <w:right w:val="none" w:sz="0" w:space="0" w:color="auto"/>
          </w:divBdr>
          <w:divsChild>
            <w:div w:id="1037657656">
              <w:marLeft w:val="0"/>
              <w:marRight w:val="0"/>
              <w:marTop w:val="0"/>
              <w:marBottom w:val="4800"/>
              <w:divBdr>
                <w:top w:val="none" w:sz="0" w:space="0" w:color="auto"/>
                <w:left w:val="none" w:sz="0" w:space="0" w:color="auto"/>
                <w:bottom w:val="none" w:sz="0" w:space="0" w:color="auto"/>
                <w:right w:val="none" w:sz="0" w:space="0" w:color="auto"/>
              </w:divBdr>
              <w:divsChild>
                <w:div w:id="1178740563">
                  <w:marLeft w:val="0"/>
                  <w:marRight w:val="0"/>
                  <w:marTop w:val="0"/>
                  <w:marBottom w:val="0"/>
                  <w:divBdr>
                    <w:top w:val="none" w:sz="0" w:space="0" w:color="auto"/>
                    <w:left w:val="none" w:sz="0" w:space="0" w:color="auto"/>
                    <w:bottom w:val="none" w:sz="0" w:space="0" w:color="auto"/>
                    <w:right w:val="none" w:sz="0" w:space="0" w:color="auto"/>
                  </w:divBdr>
                  <w:divsChild>
                    <w:div w:id="870650790">
                      <w:marLeft w:val="0"/>
                      <w:marRight w:val="0"/>
                      <w:marTop w:val="120"/>
                      <w:marBottom w:val="0"/>
                      <w:divBdr>
                        <w:top w:val="none" w:sz="0" w:space="0" w:color="auto"/>
                        <w:left w:val="none" w:sz="0" w:space="0" w:color="auto"/>
                        <w:bottom w:val="none" w:sz="0" w:space="0" w:color="auto"/>
                        <w:right w:val="none" w:sz="0" w:space="0" w:color="auto"/>
                      </w:divBdr>
                      <w:divsChild>
                        <w:div w:id="1035277738">
                          <w:marLeft w:val="0"/>
                          <w:marRight w:val="0"/>
                          <w:marTop w:val="0"/>
                          <w:marBottom w:val="0"/>
                          <w:divBdr>
                            <w:top w:val="none" w:sz="0" w:space="0" w:color="auto"/>
                            <w:left w:val="none" w:sz="0" w:space="0" w:color="auto"/>
                            <w:bottom w:val="none" w:sz="0" w:space="0" w:color="auto"/>
                            <w:right w:val="none" w:sz="0" w:space="0" w:color="auto"/>
                          </w:divBdr>
                          <w:divsChild>
                            <w:div w:id="120155118">
                              <w:marLeft w:val="0"/>
                              <w:marRight w:val="0"/>
                              <w:marTop w:val="0"/>
                              <w:marBottom w:val="0"/>
                              <w:divBdr>
                                <w:top w:val="none" w:sz="0" w:space="0" w:color="auto"/>
                                <w:left w:val="none" w:sz="0" w:space="0" w:color="auto"/>
                                <w:bottom w:val="none" w:sz="0" w:space="0" w:color="auto"/>
                                <w:right w:val="none" w:sz="0" w:space="0" w:color="auto"/>
                              </w:divBdr>
                              <w:divsChild>
                                <w:div w:id="16941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643444">
      <w:bodyDiv w:val="1"/>
      <w:marLeft w:val="0"/>
      <w:marRight w:val="0"/>
      <w:marTop w:val="0"/>
      <w:marBottom w:val="0"/>
      <w:divBdr>
        <w:top w:val="none" w:sz="0" w:space="0" w:color="auto"/>
        <w:left w:val="none" w:sz="0" w:space="0" w:color="auto"/>
        <w:bottom w:val="none" w:sz="0" w:space="0" w:color="auto"/>
        <w:right w:val="none" w:sz="0" w:space="0" w:color="auto"/>
      </w:divBdr>
    </w:div>
    <w:div w:id="1338388032">
      <w:bodyDiv w:val="1"/>
      <w:marLeft w:val="0"/>
      <w:marRight w:val="0"/>
      <w:marTop w:val="0"/>
      <w:marBottom w:val="0"/>
      <w:divBdr>
        <w:top w:val="none" w:sz="0" w:space="0" w:color="auto"/>
        <w:left w:val="none" w:sz="0" w:space="0" w:color="auto"/>
        <w:bottom w:val="none" w:sz="0" w:space="0" w:color="auto"/>
        <w:right w:val="none" w:sz="0" w:space="0" w:color="auto"/>
      </w:divBdr>
    </w:div>
    <w:div w:id="1378581170">
      <w:bodyDiv w:val="1"/>
      <w:marLeft w:val="0"/>
      <w:marRight w:val="0"/>
      <w:marTop w:val="0"/>
      <w:marBottom w:val="0"/>
      <w:divBdr>
        <w:top w:val="none" w:sz="0" w:space="0" w:color="auto"/>
        <w:left w:val="none" w:sz="0" w:space="0" w:color="auto"/>
        <w:bottom w:val="none" w:sz="0" w:space="0" w:color="auto"/>
        <w:right w:val="none" w:sz="0" w:space="0" w:color="auto"/>
      </w:divBdr>
    </w:div>
    <w:div w:id="1380083374">
      <w:bodyDiv w:val="1"/>
      <w:marLeft w:val="0"/>
      <w:marRight w:val="0"/>
      <w:marTop w:val="0"/>
      <w:marBottom w:val="0"/>
      <w:divBdr>
        <w:top w:val="none" w:sz="0" w:space="0" w:color="auto"/>
        <w:left w:val="none" w:sz="0" w:space="0" w:color="auto"/>
        <w:bottom w:val="none" w:sz="0" w:space="0" w:color="auto"/>
        <w:right w:val="none" w:sz="0" w:space="0" w:color="auto"/>
      </w:divBdr>
    </w:div>
    <w:div w:id="1382242692">
      <w:bodyDiv w:val="1"/>
      <w:marLeft w:val="0"/>
      <w:marRight w:val="0"/>
      <w:marTop w:val="0"/>
      <w:marBottom w:val="0"/>
      <w:divBdr>
        <w:top w:val="none" w:sz="0" w:space="0" w:color="auto"/>
        <w:left w:val="none" w:sz="0" w:space="0" w:color="auto"/>
        <w:bottom w:val="none" w:sz="0" w:space="0" w:color="auto"/>
        <w:right w:val="none" w:sz="0" w:space="0" w:color="auto"/>
      </w:divBdr>
    </w:div>
    <w:div w:id="1445996909">
      <w:bodyDiv w:val="1"/>
      <w:marLeft w:val="0"/>
      <w:marRight w:val="0"/>
      <w:marTop w:val="0"/>
      <w:marBottom w:val="0"/>
      <w:divBdr>
        <w:top w:val="none" w:sz="0" w:space="0" w:color="auto"/>
        <w:left w:val="none" w:sz="0" w:space="0" w:color="auto"/>
        <w:bottom w:val="none" w:sz="0" w:space="0" w:color="auto"/>
        <w:right w:val="none" w:sz="0" w:space="0" w:color="auto"/>
      </w:divBdr>
    </w:div>
    <w:div w:id="1465734873">
      <w:bodyDiv w:val="1"/>
      <w:marLeft w:val="0"/>
      <w:marRight w:val="0"/>
      <w:marTop w:val="0"/>
      <w:marBottom w:val="0"/>
      <w:divBdr>
        <w:top w:val="none" w:sz="0" w:space="0" w:color="auto"/>
        <w:left w:val="none" w:sz="0" w:space="0" w:color="auto"/>
        <w:bottom w:val="none" w:sz="0" w:space="0" w:color="auto"/>
        <w:right w:val="none" w:sz="0" w:space="0" w:color="auto"/>
      </w:divBdr>
    </w:div>
    <w:div w:id="1484083687">
      <w:bodyDiv w:val="1"/>
      <w:marLeft w:val="0"/>
      <w:marRight w:val="0"/>
      <w:marTop w:val="0"/>
      <w:marBottom w:val="0"/>
      <w:divBdr>
        <w:top w:val="none" w:sz="0" w:space="0" w:color="auto"/>
        <w:left w:val="none" w:sz="0" w:space="0" w:color="auto"/>
        <w:bottom w:val="none" w:sz="0" w:space="0" w:color="auto"/>
        <w:right w:val="none" w:sz="0" w:space="0" w:color="auto"/>
      </w:divBdr>
    </w:div>
    <w:div w:id="1502236001">
      <w:bodyDiv w:val="1"/>
      <w:marLeft w:val="0"/>
      <w:marRight w:val="0"/>
      <w:marTop w:val="0"/>
      <w:marBottom w:val="0"/>
      <w:divBdr>
        <w:top w:val="none" w:sz="0" w:space="0" w:color="auto"/>
        <w:left w:val="none" w:sz="0" w:space="0" w:color="auto"/>
        <w:bottom w:val="none" w:sz="0" w:space="0" w:color="auto"/>
        <w:right w:val="none" w:sz="0" w:space="0" w:color="auto"/>
      </w:divBdr>
    </w:div>
    <w:div w:id="1517504000">
      <w:bodyDiv w:val="1"/>
      <w:marLeft w:val="0"/>
      <w:marRight w:val="0"/>
      <w:marTop w:val="0"/>
      <w:marBottom w:val="0"/>
      <w:divBdr>
        <w:top w:val="none" w:sz="0" w:space="0" w:color="auto"/>
        <w:left w:val="none" w:sz="0" w:space="0" w:color="auto"/>
        <w:bottom w:val="none" w:sz="0" w:space="0" w:color="auto"/>
        <w:right w:val="none" w:sz="0" w:space="0" w:color="auto"/>
      </w:divBdr>
    </w:div>
    <w:div w:id="1528562244">
      <w:bodyDiv w:val="1"/>
      <w:marLeft w:val="0"/>
      <w:marRight w:val="0"/>
      <w:marTop w:val="0"/>
      <w:marBottom w:val="0"/>
      <w:divBdr>
        <w:top w:val="none" w:sz="0" w:space="0" w:color="auto"/>
        <w:left w:val="none" w:sz="0" w:space="0" w:color="auto"/>
        <w:bottom w:val="none" w:sz="0" w:space="0" w:color="auto"/>
        <w:right w:val="none" w:sz="0" w:space="0" w:color="auto"/>
      </w:divBdr>
    </w:div>
    <w:div w:id="1529684033">
      <w:bodyDiv w:val="1"/>
      <w:marLeft w:val="0"/>
      <w:marRight w:val="0"/>
      <w:marTop w:val="0"/>
      <w:marBottom w:val="0"/>
      <w:divBdr>
        <w:top w:val="none" w:sz="0" w:space="0" w:color="auto"/>
        <w:left w:val="none" w:sz="0" w:space="0" w:color="auto"/>
        <w:bottom w:val="none" w:sz="0" w:space="0" w:color="auto"/>
        <w:right w:val="none" w:sz="0" w:space="0" w:color="auto"/>
      </w:divBdr>
      <w:divsChild>
        <w:div w:id="1472091938">
          <w:marLeft w:val="0"/>
          <w:marRight w:val="0"/>
          <w:marTop w:val="0"/>
          <w:marBottom w:val="0"/>
          <w:divBdr>
            <w:top w:val="none" w:sz="0" w:space="0" w:color="auto"/>
            <w:left w:val="none" w:sz="0" w:space="0" w:color="auto"/>
            <w:bottom w:val="none" w:sz="0" w:space="0" w:color="auto"/>
            <w:right w:val="none" w:sz="0" w:space="0" w:color="auto"/>
          </w:divBdr>
        </w:div>
      </w:divsChild>
    </w:div>
    <w:div w:id="1549295433">
      <w:bodyDiv w:val="1"/>
      <w:marLeft w:val="0"/>
      <w:marRight w:val="0"/>
      <w:marTop w:val="0"/>
      <w:marBottom w:val="0"/>
      <w:divBdr>
        <w:top w:val="none" w:sz="0" w:space="0" w:color="auto"/>
        <w:left w:val="none" w:sz="0" w:space="0" w:color="auto"/>
        <w:bottom w:val="none" w:sz="0" w:space="0" w:color="auto"/>
        <w:right w:val="none" w:sz="0" w:space="0" w:color="auto"/>
      </w:divBdr>
      <w:divsChild>
        <w:div w:id="1071082134">
          <w:marLeft w:val="0"/>
          <w:marRight w:val="0"/>
          <w:marTop w:val="0"/>
          <w:marBottom w:val="0"/>
          <w:divBdr>
            <w:top w:val="none" w:sz="0" w:space="0" w:color="auto"/>
            <w:left w:val="none" w:sz="0" w:space="0" w:color="auto"/>
            <w:bottom w:val="none" w:sz="0" w:space="0" w:color="auto"/>
            <w:right w:val="none" w:sz="0" w:space="0" w:color="auto"/>
          </w:divBdr>
          <w:divsChild>
            <w:div w:id="1509056327">
              <w:marLeft w:val="0"/>
              <w:marRight w:val="0"/>
              <w:marTop w:val="0"/>
              <w:marBottom w:val="4800"/>
              <w:divBdr>
                <w:top w:val="none" w:sz="0" w:space="0" w:color="auto"/>
                <w:left w:val="none" w:sz="0" w:space="0" w:color="auto"/>
                <w:bottom w:val="none" w:sz="0" w:space="0" w:color="auto"/>
                <w:right w:val="none" w:sz="0" w:space="0" w:color="auto"/>
              </w:divBdr>
              <w:divsChild>
                <w:div w:id="2013952548">
                  <w:marLeft w:val="0"/>
                  <w:marRight w:val="0"/>
                  <w:marTop w:val="0"/>
                  <w:marBottom w:val="0"/>
                  <w:divBdr>
                    <w:top w:val="none" w:sz="0" w:space="0" w:color="auto"/>
                    <w:left w:val="none" w:sz="0" w:space="0" w:color="auto"/>
                    <w:bottom w:val="none" w:sz="0" w:space="0" w:color="auto"/>
                    <w:right w:val="none" w:sz="0" w:space="0" w:color="auto"/>
                  </w:divBdr>
                  <w:divsChild>
                    <w:div w:id="1683043358">
                      <w:marLeft w:val="0"/>
                      <w:marRight w:val="0"/>
                      <w:marTop w:val="120"/>
                      <w:marBottom w:val="0"/>
                      <w:divBdr>
                        <w:top w:val="none" w:sz="0" w:space="0" w:color="auto"/>
                        <w:left w:val="none" w:sz="0" w:space="0" w:color="auto"/>
                        <w:bottom w:val="none" w:sz="0" w:space="0" w:color="auto"/>
                        <w:right w:val="none" w:sz="0" w:space="0" w:color="auto"/>
                      </w:divBdr>
                      <w:divsChild>
                        <w:div w:id="5374085">
                          <w:marLeft w:val="0"/>
                          <w:marRight w:val="0"/>
                          <w:marTop w:val="0"/>
                          <w:marBottom w:val="0"/>
                          <w:divBdr>
                            <w:top w:val="none" w:sz="0" w:space="0" w:color="auto"/>
                            <w:left w:val="none" w:sz="0" w:space="0" w:color="auto"/>
                            <w:bottom w:val="none" w:sz="0" w:space="0" w:color="auto"/>
                            <w:right w:val="none" w:sz="0" w:space="0" w:color="auto"/>
                          </w:divBdr>
                          <w:divsChild>
                            <w:div w:id="1589801515">
                              <w:marLeft w:val="0"/>
                              <w:marRight w:val="0"/>
                              <w:marTop w:val="0"/>
                              <w:marBottom w:val="0"/>
                              <w:divBdr>
                                <w:top w:val="none" w:sz="0" w:space="0" w:color="auto"/>
                                <w:left w:val="none" w:sz="0" w:space="0" w:color="auto"/>
                                <w:bottom w:val="none" w:sz="0" w:space="0" w:color="auto"/>
                                <w:right w:val="none" w:sz="0" w:space="0" w:color="auto"/>
                              </w:divBdr>
                              <w:divsChild>
                                <w:div w:id="6513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95411">
      <w:bodyDiv w:val="1"/>
      <w:marLeft w:val="0"/>
      <w:marRight w:val="0"/>
      <w:marTop w:val="0"/>
      <w:marBottom w:val="0"/>
      <w:divBdr>
        <w:top w:val="none" w:sz="0" w:space="0" w:color="auto"/>
        <w:left w:val="none" w:sz="0" w:space="0" w:color="auto"/>
        <w:bottom w:val="none" w:sz="0" w:space="0" w:color="auto"/>
        <w:right w:val="none" w:sz="0" w:space="0" w:color="auto"/>
      </w:divBdr>
    </w:div>
    <w:div w:id="1580747489">
      <w:bodyDiv w:val="1"/>
      <w:marLeft w:val="0"/>
      <w:marRight w:val="0"/>
      <w:marTop w:val="0"/>
      <w:marBottom w:val="0"/>
      <w:divBdr>
        <w:top w:val="none" w:sz="0" w:space="0" w:color="auto"/>
        <w:left w:val="none" w:sz="0" w:space="0" w:color="auto"/>
        <w:bottom w:val="none" w:sz="0" w:space="0" w:color="auto"/>
        <w:right w:val="none" w:sz="0" w:space="0" w:color="auto"/>
      </w:divBdr>
    </w:div>
    <w:div w:id="1590120548">
      <w:bodyDiv w:val="1"/>
      <w:marLeft w:val="0"/>
      <w:marRight w:val="0"/>
      <w:marTop w:val="0"/>
      <w:marBottom w:val="0"/>
      <w:divBdr>
        <w:top w:val="none" w:sz="0" w:space="0" w:color="auto"/>
        <w:left w:val="none" w:sz="0" w:space="0" w:color="auto"/>
        <w:bottom w:val="none" w:sz="0" w:space="0" w:color="auto"/>
        <w:right w:val="none" w:sz="0" w:space="0" w:color="auto"/>
      </w:divBdr>
      <w:divsChild>
        <w:div w:id="1302154268">
          <w:marLeft w:val="0"/>
          <w:marRight w:val="0"/>
          <w:marTop w:val="0"/>
          <w:marBottom w:val="0"/>
          <w:divBdr>
            <w:top w:val="none" w:sz="0" w:space="0" w:color="auto"/>
            <w:left w:val="none" w:sz="0" w:space="0" w:color="auto"/>
            <w:bottom w:val="none" w:sz="0" w:space="0" w:color="auto"/>
            <w:right w:val="none" w:sz="0" w:space="0" w:color="auto"/>
          </w:divBdr>
        </w:div>
      </w:divsChild>
    </w:div>
    <w:div w:id="1603564931">
      <w:bodyDiv w:val="1"/>
      <w:marLeft w:val="0"/>
      <w:marRight w:val="0"/>
      <w:marTop w:val="0"/>
      <w:marBottom w:val="0"/>
      <w:divBdr>
        <w:top w:val="none" w:sz="0" w:space="0" w:color="auto"/>
        <w:left w:val="none" w:sz="0" w:space="0" w:color="auto"/>
        <w:bottom w:val="none" w:sz="0" w:space="0" w:color="auto"/>
        <w:right w:val="none" w:sz="0" w:space="0" w:color="auto"/>
      </w:divBdr>
    </w:div>
    <w:div w:id="1610769969">
      <w:bodyDiv w:val="1"/>
      <w:marLeft w:val="0"/>
      <w:marRight w:val="0"/>
      <w:marTop w:val="0"/>
      <w:marBottom w:val="0"/>
      <w:divBdr>
        <w:top w:val="none" w:sz="0" w:space="0" w:color="auto"/>
        <w:left w:val="none" w:sz="0" w:space="0" w:color="auto"/>
        <w:bottom w:val="none" w:sz="0" w:space="0" w:color="auto"/>
        <w:right w:val="none" w:sz="0" w:space="0" w:color="auto"/>
      </w:divBdr>
    </w:div>
    <w:div w:id="1629778964">
      <w:bodyDiv w:val="1"/>
      <w:marLeft w:val="0"/>
      <w:marRight w:val="0"/>
      <w:marTop w:val="0"/>
      <w:marBottom w:val="0"/>
      <w:divBdr>
        <w:top w:val="none" w:sz="0" w:space="0" w:color="auto"/>
        <w:left w:val="none" w:sz="0" w:space="0" w:color="auto"/>
        <w:bottom w:val="none" w:sz="0" w:space="0" w:color="auto"/>
        <w:right w:val="none" w:sz="0" w:space="0" w:color="auto"/>
      </w:divBdr>
    </w:div>
    <w:div w:id="1658224484">
      <w:bodyDiv w:val="1"/>
      <w:marLeft w:val="0"/>
      <w:marRight w:val="0"/>
      <w:marTop w:val="0"/>
      <w:marBottom w:val="0"/>
      <w:divBdr>
        <w:top w:val="none" w:sz="0" w:space="0" w:color="auto"/>
        <w:left w:val="none" w:sz="0" w:space="0" w:color="auto"/>
        <w:bottom w:val="none" w:sz="0" w:space="0" w:color="auto"/>
        <w:right w:val="none" w:sz="0" w:space="0" w:color="auto"/>
      </w:divBdr>
    </w:div>
    <w:div w:id="1661616324">
      <w:bodyDiv w:val="1"/>
      <w:marLeft w:val="0"/>
      <w:marRight w:val="0"/>
      <w:marTop w:val="0"/>
      <w:marBottom w:val="0"/>
      <w:divBdr>
        <w:top w:val="none" w:sz="0" w:space="0" w:color="auto"/>
        <w:left w:val="none" w:sz="0" w:space="0" w:color="auto"/>
        <w:bottom w:val="none" w:sz="0" w:space="0" w:color="auto"/>
        <w:right w:val="none" w:sz="0" w:space="0" w:color="auto"/>
      </w:divBdr>
    </w:div>
    <w:div w:id="1668433904">
      <w:bodyDiv w:val="1"/>
      <w:marLeft w:val="0"/>
      <w:marRight w:val="0"/>
      <w:marTop w:val="0"/>
      <w:marBottom w:val="0"/>
      <w:divBdr>
        <w:top w:val="none" w:sz="0" w:space="0" w:color="auto"/>
        <w:left w:val="none" w:sz="0" w:space="0" w:color="auto"/>
        <w:bottom w:val="none" w:sz="0" w:space="0" w:color="auto"/>
        <w:right w:val="none" w:sz="0" w:space="0" w:color="auto"/>
      </w:divBdr>
    </w:div>
    <w:div w:id="1686129904">
      <w:bodyDiv w:val="1"/>
      <w:marLeft w:val="0"/>
      <w:marRight w:val="0"/>
      <w:marTop w:val="0"/>
      <w:marBottom w:val="0"/>
      <w:divBdr>
        <w:top w:val="none" w:sz="0" w:space="0" w:color="auto"/>
        <w:left w:val="none" w:sz="0" w:space="0" w:color="auto"/>
        <w:bottom w:val="none" w:sz="0" w:space="0" w:color="auto"/>
        <w:right w:val="none" w:sz="0" w:space="0" w:color="auto"/>
      </w:divBdr>
    </w:div>
    <w:div w:id="1703550028">
      <w:bodyDiv w:val="1"/>
      <w:marLeft w:val="0"/>
      <w:marRight w:val="0"/>
      <w:marTop w:val="0"/>
      <w:marBottom w:val="0"/>
      <w:divBdr>
        <w:top w:val="none" w:sz="0" w:space="0" w:color="auto"/>
        <w:left w:val="none" w:sz="0" w:space="0" w:color="auto"/>
        <w:bottom w:val="none" w:sz="0" w:space="0" w:color="auto"/>
        <w:right w:val="none" w:sz="0" w:space="0" w:color="auto"/>
      </w:divBdr>
    </w:div>
    <w:div w:id="1715541469">
      <w:bodyDiv w:val="1"/>
      <w:marLeft w:val="0"/>
      <w:marRight w:val="0"/>
      <w:marTop w:val="0"/>
      <w:marBottom w:val="0"/>
      <w:divBdr>
        <w:top w:val="none" w:sz="0" w:space="0" w:color="auto"/>
        <w:left w:val="none" w:sz="0" w:space="0" w:color="auto"/>
        <w:bottom w:val="none" w:sz="0" w:space="0" w:color="auto"/>
        <w:right w:val="none" w:sz="0" w:space="0" w:color="auto"/>
      </w:divBdr>
    </w:div>
    <w:div w:id="1716729837">
      <w:bodyDiv w:val="1"/>
      <w:marLeft w:val="0"/>
      <w:marRight w:val="0"/>
      <w:marTop w:val="0"/>
      <w:marBottom w:val="0"/>
      <w:divBdr>
        <w:top w:val="none" w:sz="0" w:space="0" w:color="auto"/>
        <w:left w:val="none" w:sz="0" w:space="0" w:color="auto"/>
        <w:bottom w:val="none" w:sz="0" w:space="0" w:color="auto"/>
        <w:right w:val="none" w:sz="0" w:space="0" w:color="auto"/>
      </w:divBdr>
      <w:divsChild>
        <w:div w:id="1142310674">
          <w:marLeft w:val="0"/>
          <w:marRight w:val="0"/>
          <w:marTop w:val="0"/>
          <w:marBottom w:val="0"/>
          <w:divBdr>
            <w:top w:val="none" w:sz="0" w:space="0" w:color="auto"/>
            <w:left w:val="none" w:sz="0" w:space="0" w:color="auto"/>
            <w:bottom w:val="none" w:sz="0" w:space="0" w:color="auto"/>
            <w:right w:val="none" w:sz="0" w:space="0" w:color="auto"/>
          </w:divBdr>
          <w:divsChild>
            <w:div w:id="1341662736">
              <w:marLeft w:val="0"/>
              <w:marRight w:val="0"/>
              <w:marTop w:val="0"/>
              <w:marBottom w:val="4800"/>
              <w:divBdr>
                <w:top w:val="none" w:sz="0" w:space="0" w:color="auto"/>
                <w:left w:val="none" w:sz="0" w:space="0" w:color="auto"/>
                <w:bottom w:val="none" w:sz="0" w:space="0" w:color="auto"/>
                <w:right w:val="none" w:sz="0" w:space="0" w:color="auto"/>
              </w:divBdr>
              <w:divsChild>
                <w:div w:id="1931307424">
                  <w:marLeft w:val="0"/>
                  <w:marRight w:val="0"/>
                  <w:marTop w:val="0"/>
                  <w:marBottom w:val="0"/>
                  <w:divBdr>
                    <w:top w:val="none" w:sz="0" w:space="0" w:color="auto"/>
                    <w:left w:val="none" w:sz="0" w:space="0" w:color="auto"/>
                    <w:bottom w:val="none" w:sz="0" w:space="0" w:color="auto"/>
                    <w:right w:val="none" w:sz="0" w:space="0" w:color="auto"/>
                  </w:divBdr>
                  <w:divsChild>
                    <w:div w:id="368606123">
                      <w:marLeft w:val="0"/>
                      <w:marRight w:val="0"/>
                      <w:marTop w:val="120"/>
                      <w:marBottom w:val="0"/>
                      <w:divBdr>
                        <w:top w:val="none" w:sz="0" w:space="0" w:color="auto"/>
                        <w:left w:val="none" w:sz="0" w:space="0" w:color="auto"/>
                        <w:bottom w:val="none" w:sz="0" w:space="0" w:color="auto"/>
                        <w:right w:val="none" w:sz="0" w:space="0" w:color="auto"/>
                      </w:divBdr>
                      <w:divsChild>
                        <w:div w:id="1026755145">
                          <w:marLeft w:val="0"/>
                          <w:marRight w:val="0"/>
                          <w:marTop w:val="0"/>
                          <w:marBottom w:val="0"/>
                          <w:divBdr>
                            <w:top w:val="none" w:sz="0" w:space="0" w:color="auto"/>
                            <w:left w:val="none" w:sz="0" w:space="0" w:color="auto"/>
                            <w:bottom w:val="none" w:sz="0" w:space="0" w:color="auto"/>
                            <w:right w:val="none" w:sz="0" w:space="0" w:color="auto"/>
                          </w:divBdr>
                          <w:divsChild>
                            <w:div w:id="1397849759">
                              <w:marLeft w:val="0"/>
                              <w:marRight w:val="0"/>
                              <w:marTop w:val="0"/>
                              <w:marBottom w:val="0"/>
                              <w:divBdr>
                                <w:top w:val="none" w:sz="0" w:space="0" w:color="auto"/>
                                <w:left w:val="none" w:sz="0" w:space="0" w:color="auto"/>
                                <w:bottom w:val="none" w:sz="0" w:space="0" w:color="auto"/>
                                <w:right w:val="none" w:sz="0" w:space="0" w:color="auto"/>
                              </w:divBdr>
                              <w:divsChild>
                                <w:div w:id="20387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01232">
          <w:marLeft w:val="-4200"/>
          <w:marRight w:val="0"/>
          <w:marTop w:val="0"/>
          <w:marBottom w:val="0"/>
          <w:divBdr>
            <w:top w:val="none" w:sz="0" w:space="0" w:color="auto"/>
            <w:left w:val="none" w:sz="0" w:space="0" w:color="auto"/>
            <w:bottom w:val="none" w:sz="0" w:space="0" w:color="auto"/>
            <w:right w:val="none" w:sz="0" w:space="0" w:color="auto"/>
          </w:divBdr>
          <w:divsChild>
            <w:div w:id="856425427">
              <w:marLeft w:val="4200"/>
              <w:marRight w:val="0"/>
              <w:marTop w:val="0"/>
              <w:marBottom w:val="0"/>
              <w:divBdr>
                <w:top w:val="none" w:sz="0" w:space="0" w:color="auto"/>
                <w:left w:val="none" w:sz="0" w:space="0" w:color="auto"/>
                <w:bottom w:val="none" w:sz="0" w:space="0" w:color="auto"/>
                <w:right w:val="none" w:sz="0" w:space="0" w:color="auto"/>
              </w:divBdr>
              <w:divsChild>
                <w:div w:id="17121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3141">
      <w:bodyDiv w:val="1"/>
      <w:marLeft w:val="0"/>
      <w:marRight w:val="0"/>
      <w:marTop w:val="0"/>
      <w:marBottom w:val="0"/>
      <w:divBdr>
        <w:top w:val="none" w:sz="0" w:space="0" w:color="auto"/>
        <w:left w:val="none" w:sz="0" w:space="0" w:color="auto"/>
        <w:bottom w:val="none" w:sz="0" w:space="0" w:color="auto"/>
        <w:right w:val="none" w:sz="0" w:space="0" w:color="auto"/>
      </w:divBdr>
    </w:div>
    <w:div w:id="1743865257">
      <w:bodyDiv w:val="1"/>
      <w:marLeft w:val="0"/>
      <w:marRight w:val="0"/>
      <w:marTop w:val="0"/>
      <w:marBottom w:val="0"/>
      <w:divBdr>
        <w:top w:val="none" w:sz="0" w:space="0" w:color="auto"/>
        <w:left w:val="none" w:sz="0" w:space="0" w:color="auto"/>
        <w:bottom w:val="none" w:sz="0" w:space="0" w:color="auto"/>
        <w:right w:val="none" w:sz="0" w:space="0" w:color="auto"/>
      </w:divBdr>
    </w:div>
    <w:div w:id="1753232432">
      <w:bodyDiv w:val="1"/>
      <w:marLeft w:val="0"/>
      <w:marRight w:val="0"/>
      <w:marTop w:val="0"/>
      <w:marBottom w:val="0"/>
      <w:divBdr>
        <w:top w:val="none" w:sz="0" w:space="0" w:color="auto"/>
        <w:left w:val="none" w:sz="0" w:space="0" w:color="auto"/>
        <w:bottom w:val="none" w:sz="0" w:space="0" w:color="auto"/>
        <w:right w:val="none" w:sz="0" w:space="0" w:color="auto"/>
      </w:divBdr>
    </w:div>
    <w:div w:id="1768161541">
      <w:bodyDiv w:val="1"/>
      <w:marLeft w:val="0"/>
      <w:marRight w:val="0"/>
      <w:marTop w:val="0"/>
      <w:marBottom w:val="0"/>
      <w:divBdr>
        <w:top w:val="none" w:sz="0" w:space="0" w:color="auto"/>
        <w:left w:val="none" w:sz="0" w:space="0" w:color="auto"/>
        <w:bottom w:val="none" w:sz="0" w:space="0" w:color="auto"/>
        <w:right w:val="none" w:sz="0" w:space="0" w:color="auto"/>
      </w:divBdr>
    </w:div>
    <w:div w:id="1769235960">
      <w:bodyDiv w:val="1"/>
      <w:marLeft w:val="0"/>
      <w:marRight w:val="0"/>
      <w:marTop w:val="0"/>
      <w:marBottom w:val="0"/>
      <w:divBdr>
        <w:top w:val="none" w:sz="0" w:space="0" w:color="auto"/>
        <w:left w:val="none" w:sz="0" w:space="0" w:color="auto"/>
        <w:bottom w:val="none" w:sz="0" w:space="0" w:color="auto"/>
        <w:right w:val="none" w:sz="0" w:space="0" w:color="auto"/>
      </w:divBdr>
    </w:div>
    <w:div w:id="1771508287">
      <w:bodyDiv w:val="1"/>
      <w:marLeft w:val="0"/>
      <w:marRight w:val="0"/>
      <w:marTop w:val="0"/>
      <w:marBottom w:val="0"/>
      <w:divBdr>
        <w:top w:val="none" w:sz="0" w:space="0" w:color="auto"/>
        <w:left w:val="none" w:sz="0" w:space="0" w:color="auto"/>
        <w:bottom w:val="none" w:sz="0" w:space="0" w:color="auto"/>
        <w:right w:val="none" w:sz="0" w:space="0" w:color="auto"/>
      </w:divBdr>
    </w:div>
    <w:div w:id="1777358964">
      <w:bodyDiv w:val="1"/>
      <w:marLeft w:val="0"/>
      <w:marRight w:val="0"/>
      <w:marTop w:val="0"/>
      <w:marBottom w:val="0"/>
      <w:divBdr>
        <w:top w:val="none" w:sz="0" w:space="0" w:color="auto"/>
        <w:left w:val="none" w:sz="0" w:space="0" w:color="auto"/>
        <w:bottom w:val="none" w:sz="0" w:space="0" w:color="auto"/>
        <w:right w:val="none" w:sz="0" w:space="0" w:color="auto"/>
      </w:divBdr>
    </w:div>
    <w:div w:id="1787313100">
      <w:bodyDiv w:val="1"/>
      <w:marLeft w:val="0"/>
      <w:marRight w:val="0"/>
      <w:marTop w:val="0"/>
      <w:marBottom w:val="0"/>
      <w:divBdr>
        <w:top w:val="none" w:sz="0" w:space="0" w:color="auto"/>
        <w:left w:val="none" w:sz="0" w:space="0" w:color="auto"/>
        <w:bottom w:val="none" w:sz="0" w:space="0" w:color="auto"/>
        <w:right w:val="none" w:sz="0" w:space="0" w:color="auto"/>
      </w:divBdr>
    </w:div>
    <w:div w:id="1793136711">
      <w:bodyDiv w:val="1"/>
      <w:marLeft w:val="0"/>
      <w:marRight w:val="0"/>
      <w:marTop w:val="0"/>
      <w:marBottom w:val="0"/>
      <w:divBdr>
        <w:top w:val="none" w:sz="0" w:space="0" w:color="auto"/>
        <w:left w:val="none" w:sz="0" w:space="0" w:color="auto"/>
        <w:bottom w:val="none" w:sz="0" w:space="0" w:color="auto"/>
        <w:right w:val="none" w:sz="0" w:space="0" w:color="auto"/>
      </w:divBdr>
      <w:divsChild>
        <w:div w:id="209653982">
          <w:marLeft w:val="0"/>
          <w:marRight w:val="0"/>
          <w:marTop w:val="0"/>
          <w:marBottom w:val="0"/>
          <w:divBdr>
            <w:top w:val="none" w:sz="0" w:space="0" w:color="auto"/>
            <w:left w:val="none" w:sz="0" w:space="0" w:color="auto"/>
            <w:bottom w:val="none" w:sz="0" w:space="0" w:color="auto"/>
            <w:right w:val="none" w:sz="0" w:space="0" w:color="auto"/>
          </w:divBdr>
          <w:divsChild>
            <w:div w:id="321588769">
              <w:marLeft w:val="0"/>
              <w:marRight w:val="0"/>
              <w:marTop w:val="0"/>
              <w:marBottom w:val="4800"/>
              <w:divBdr>
                <w:top w:val="none" w:sz="0" w:space="0" w:color="auto"/>
                <w:left w:val="none" w:sz="0" w:space="0" w:color="auto"/>
                <w:bottom w:val="none" w:sz="0" w:space="0" w:color="auto"/>
                <w:right w:val="none" w:sz="0" w:space="0" w:color="auto"/>
              </w:divBdr>
              <w:divsChild>
                <w:div w:id="300968598">
                  <w:marLeft w:val="0"/>
                  <w:marRight w:val="0"/>
                  <w:marTop w:val="0"/>
                  <w:marBottom w:val="0"/>
                  <w:divBdr>
                    <w:top w:val="none" w:sz="0" w:space="0" w:color="auto"/>
                    <w:left w:val="none" w:sz="0" w:space="0" w:color="auto"/>
                    <w:bottom w:val="none" w:sz="0" w:space="0" w:color="auto"/>
                    <w:right w:val="none" w:sz="0" w:space="0" w:color="auto"/>
                  </w:divBdr>
                  <w:divsChild>
                    <w:div w:id="231505752">
                      <w:marLeft w:val="0"/>
                      <w:marRight w:val="0"/>
                      <w:marTop w:val="120"/>
                      <w:marBottom w:val="0"/>
                      <w:divBdr>
                        <w:top w:val="none" w:sz="0" w:space="0" w:color="auto"/>
                        <w:left w:val="none" w:sz="0" w:space="0" w:color="auto"/>
                        <w:bottom w:val="none" w:sz="0" w:space="0" w:color="auto"/>
                        <w:right w:val="none" w:sz="0" w:space="0" w:color="auto"/>
                      </w:divBdr>
                      <w:divsChild>
                        <w:div w:id="1852257030">
                          <w:marLeft w:val="0"/>
                          <w:marRight w:val="0"/>
                          <w:marTop w:val="0"/>
                          <w:marBottom w:val="0"/>
                          <w:divBdr>
                            <w:top w:val="none" w:sz="0" w:space="0" w:color="auto"/>
                            <w:left w:val="none" w:sz="0" w:space="0" w:color="auto"/>
                            <w:bottom w:val="none" w:sz="0" w:space="0" w:color="auto"/>
                            <w:right w:val="none" w:sz="0" w:space="0" w:color="auto"/>
                          </w:divBdr>
                          <w:divsChild>
                            <w:div w:id="139932461">
                              <w:marLeft w:val="0"/>
                              <w:marRight w:val="0"/>
                              <w:marTop w:val="0"/>
                              <w:marBottom w:val="0"/>
                              <w:divBdr>
                                <w:top w:val="none" w:sz="0" w:space="0" w:color="auto"/>
                                <w:left w:val="none" w:sz="0" w:space="0" w:color="auto"/>
                                <w:bottom w:val="none" w:sz="0" w:space="0" w:color="auto"/>
                                <w:right w:val="none" w:sz="0" w:space="0" w:color="auto"/>
                              </w:divBdr>
                              <w:divsChild>
                                <w:div w:id="21039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541633">
      <w:bodyDiv w:val="1"/>
      <w:marLeft w:val="0"/>
      <w:marRight w:val="0"/>
      <w:marTop w:val="0"/>
      <w:marBottom w:val="0"/>
      <w:divBdr>
        <w:top w:val="none" w:sz="0" w:space="0" w:color="auto"/>
        <w:left w:val="none" w:sz="0" w:space="0" w:color="auto"/>
        <w:bottom w:val="none" w:sz="0" w:space="0" w:color="auto"/>
        <w:right w:val="none" w:sz="0" w:space="0" w:color="auto"/>
      </w:divBdr>
      <w:divsChild>
        <w:div w:id="394208258">
          <w:marLeft w:val="0"/>
          <w:marRight w:val="0"/>
          <w:marTop w:val="0"/>
          <w:marBottom w:val="0"/>
          <w:divBdr>
            <w:top w:val="none" w:sz="0" w:space="0" w:color="auto"/>
            <w:left w:val="none" w:sz="0" w:space="0" w:color="auto"/>
            <w:bottom w:val="none" w:sz="0" w:space="0" w:color="auto"/>
            <w:right w:val="none" w:sz="0" w:space="0" w:color="auto"/>
          </w:divBdr>
          <w:divsChild>
            <w:div w:id="94983368">
              <w:marLeft w:val="0"/>
              <w:marRight w:val="0"/>
              <w:marTop w:val="0"/>
              <w:marBottom w:val="4800"/>
              <w:divBdr>
                <w:top w:val="none" w:sz="0" w:space="0" w:color="auto"/>
                <w:left w:val="none" w:sz="0" w:space="0" w:color="auto"/>
                <w:bottom w:val="none" w:sz="0" w:space="0" w:color="auto"/>
                <w:right w:val="none" w:sz="0" w:space="0" w:color="auto"/>
              </w:divBdr>
              <w:divsChild>
                <w:div w:id="943152665">
                  <w:marLeft w:val="0"/>
                  <w:marRight w:val="0"/>
                  <w:marTop w:val="0"/>
                  <w:marBottom w:val="0"/>
                  <w:divBdr>
                    <w:top w:val="none" w:sz="0" w:space="0" w:color="auto"/>
                    <w:left w:val="none" w:sz="0" w:space="0" w:color="auto"/>
                    <w:bottom w:val="none" w:sz="0" w:space="0" w:color="auto"/>
                    <w:right w:val="none" w:sz="0" w:space="0" w:color="auto"/>
                  </w:divBdr>
                  <w:divsChild>
                    <w:div w:id="293871660">
                      <w:marLeft w:val="0"/>
                      <w:marRight w:val="0"/>
                      <w:marTop w:val="120"/>
                      <w:marBottom w:val="0"/>
                      <w:divBdr>
                        <w:top w:val="none" w:sz="0" w:space="0" w:color="auto"/>
                        <w:left w:val="none" w:sz="0" w:space="0" w:color="auto"/>
                        <w:bottom w:val="none" w:sz="0" w:space="0" w:color="auto"/>
                        <w:right w:val="none" w:sz="0" w:space="0" w:color="auto"/>
                      </w:divBdr>
                      <w:divsChild>
                        <w:div w:id="1214082133">
                          <w:marLeft w:val="0"/>
                          <w:marRight w:val="0"/>
                          <w:marTop w:val="0"/>
                          <w:marBottom w:val="0"/>
                          <w:divBdr>
                            <w:top w:val="none" w:sz="0" w:space="0" w:color="auto"/>
                            <w:left w:val="none" w:sz="0" w:space="0" w:color="auto"/>
                            <w:bottom w:val="none" w:sz="0" w:space="0" w:color="auto"/>
                            <w:right w:val="none" w:sz="0" w:space="0" w:color="auto"/>
                          </w:divBdr>
                          <w:divsChild>
                            <w:div w:id="2137480664">
                              <w:marLeft w:val="0"/>
                              <w:marRight w:val="0"/>
                              <w:marTop w:val="0"/>
                              <w:marBottom w:val="0"/>
                              <w:divBdr>
                                <w:top w:val="none" w:sz="0" w:space="0" w:color="auto"/>
                                <w:left w:val="none" w:sz="0" w:space="0" w:color="auto"/>
                                <w:bottom w:val="none" w:sz="0" w:space="0" w:color="auto"/>
                                <w:right w:val="none" w:sz="0" w:space="0" w:color="auto"/>
                              </w:divBdr>
                              <w:divsChild>
                                <w:div w:id="1158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352725">
      <w:bodyDiv w:val="1"/>
      <w:marLeft w:val="0"/>
      <w:marRight w:val="0"/>
      <w:marTop w:val="0"/>
      <w:marBottom w:val="0"/>
      <w:divBdr>
        <w:top w:val="none" w:sz="0" w:space="0" w:color="auto"/>
        <w:left w:val="none" w:sz="0" w:space="0" w:color="auto"/>
        <w:bottom w:val="none" w:sz="0" w:space="0" w:color="auto"/>
        <w:right w:val="none" w:sz="0" w:space="0" w:color="auto"/>
      </w:divBdr>
    </w:div>
    <w:div w:id="1852716311">
      <w:bodyDiv w:val="1"/>
      <w:marLeft w:val="0"/>
      <w:marRight w:val="0"/>
      <w:marTop w:val="0"/>
      <w:marBottom w:val="0"/>
      <w:divBdr>
        <w:top w:val="none" w:sz="0" w:space="0" w:color="auto"/>
        <w:left w:val="none" w:sz="0" w:space="0" w:color="auto"/>
        <w:bottom w:val="none" w:sz="0" w:space="0" w:color="auto"/>
        <w:right w:val="none" w:sz="0" w:space="0" w:color="auto"/>
      </w:divBdr>
    </w:div>
    <w:div w:id="1857117100">
      <w:bodyDiv w:val="1"/>
      <w:marLeft w:val="0"/>
      <w:marRight w:val="0"/>
      <w:marTop w:val="0"/>
      <w:marBottom w:val="0"/>
      <w:divBdr>
        <w:top w:val="none" w:sz="0" w:space="0" w:color="auto"/>
        <w:left w:val="none" w:sz="0" w:space="0" w:color="auto"/>
        <w:bottom w:val="none" w:sz="0" w:space="0" w:color="auto"/>
        <w:right w:val="none" w:sz="0" w:space="0" w:color="auto"/>
      </w:divBdr>
    </w:div>
    <w:div w:id="1858153485">
      <w:bodyDiv w:val="1"/>
      <w:marLeft w:val="0"/>
      <w:marRight w:val="0"/>
      <w:marTop w:val="0"/>
      <w:marBottom w:val="0"/>
      <w:divBdr>
        <w:top w:val="none" w:sz="0" w:space="0" w:color="auto"/>
        <w:left w:val="none" w:sz="0" w:space="0" w:color="auto"/>
        <w:bottom w:val="none" w:sz="0" w:space="0" w:color="auto"/>
        <w:right w:val="none" w:sz="0" w:space="0" w:color="auto"/>
      </w:divBdr>
    </w:div>
    <w:div w:id="1883708246">
      <w:bodyDiv w:val="1"/>
      <w:marLeft w:val="0"/>
      <w:marRight w:val="0"/>
      <w:marTop w:val="0"/>
      <w:marBottom w:val="0"/>
      <w:divBdr>
        <w:top w:val="none" w:sz="0" w:space="0" w:color="auto"/>
        <w:left w:val="none" w:sz="0" w:space="0" w:color="auto"/>
        <w:bottom w:val="none" w:sz="0" w:space="0" w:color="auto"/>
        <w:right w:val="none" w:sz="0" w:space="0" w:color="auto"/>
      </w:divBdr>
      <w:divsChild>
        <w:div w:id="2057587025">
          <w:marLeft w:val="0"/>
          <w:marRight w:val="0"/>
          <w:marTop w:val="0"/>
          <w:marBottom w:val="0"/>
          <w:divBdr>
            <w:top w:val="none" w:sz="0" w:space="0" w:color="auto"/>
            <w:left w:val="none" w:sz="0" w:space="0" w:color="auto"/>
            <w:bottom w:val="none" w:sz="0" w:space="0" w:color="auto"/>
            <w:right w:val="none" w:sz="0" w:space="0" w:color="auto"/>
          </w:divBdr>
          <w:divsChild>
            <w:div w:id="2126653436">
              <w:marLeft w:val="0"/>
              <w:marRight w:val="0"/>
              <w:marTop w:val="0"/>
              <w:marBottom w:val="4800"/>
              <w:divBdr>
                <w:top w:val="none" w:sz="0" w:space="0" w:color="auto"/>
                <w:left w:val="none" w:sz="0" w:space="0" w:color="auto"/>
                <w:bottom w:val="none" w:sz="0" w:space="0" w:color="auto"/>
                <w:right w:val="none" w:sz="0" w:space="0" w:color="auto"/>
              </w:divBdr>
              <w:divsChild>
                <w:div w:id="1066495844">
                  <w:marLeft w:val="0"/>
                  <w:marRight w:val="0"/>
                  <w:marTop w:val="0"/>
                  <w:marBottom w:val="0"/>
                  <w:divBdr>
                    <w:top w:val="none" w:sz="0" w:space="0" w:color="auto"/>
                    <w:left w:val="none" w:sz="0" w:space="0" w:color="auto"/>
                    <w:bottom w:val="none" w:sz="0" w:space="0" w:color="auto"/>
                    <w:right w:val="none" w:sz="0" w:space="0" w:color="auto"/>
                  </w:divBdr>
                  <w:divsChild>
                    <w:div w:id="1707102489">
                      <w:marLeft w:val="0"/>
                      <w:marRight w:val="0"/>
                      <w:marTop w:val="120"/>
                      <w:marBottom w:val="0"/>
                      <w:divBdr>
                        <w:top w:val="none" w:sz="0" w:space="0" w:color="auto"/>
                        <w:left w:val="none" w:sz="0" w:space="0" w:color="auto"/>
                        <w:bottom w:val="none" w:sz="0" w:space="0" w:color="auto"/>
                        <w:right w:val="none" w:sz="0" w:space="0" w:color="auto"/>
                      </w:divBdr>
                      <w:divsChild>
                        <w:div w:id="1072921518">
                          <w:marLeft w:val="0"/>
                          <w:marRight w:val="0"/>
                          <w:marTop w:val="0"/>
                          <w:marBottom w:val="0"/>
                          <w:divBdr>
                            <w:top w:val="none" w:sz="0" w:space="0" w:color="auto"/>
                            <w:left w:val="none" w:sz="0" w:space="0" w:color="auto"/>
                            <w:bottom w:val="none" w:sz="0" w:space="0" w:color="auto"/>
                            <w:right w:val="none" w:sz="0" w:space="0" w:color="auto"/>
                          </w:divBdr>
                          <w:divsChild>
                            <w:div w:id="911354014">
                              <w:marLeft w:val="0"/>
                              <w:marRight w:val="0"/>
                              <w:marTop w:val="0"/>
                              <w:marBottom w:val="0"/>
                              <w:divBdr>
                                <w:top w:val="none" w:sz="0" w:space="0" w:color="auto"/>
                                <w:left w:val="none" w:sz="0" w:space="0" w:color="auto"/>
                                <w:bottom w:val="none" w:sz="0" w:space="0" w:color="auto"/>
                                <w:right w:val="none" w:sz="0" w:space="0" w:color="auto"/>
                              </w:divBdr>
                              <w:divsChild>
                                <w:div w:id="1004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917883">
      <w:bodyDiv w:val="1"/>
      <w:marLeft w:val="0"/>
      <w:marRight w:val="0"/>
      <w:marTop w:val="0"/>
      <w:marBottom w:val="0"/>
      <w:divBdr>
        <w:top w:val="none" w:sz="0" w:space="0" w:color="auto"/>
        <w:left w:val="none" w:sz="0" w:space="0" w:color="auto"/>
        <w:bottom w:val="none" w:sz="0" w:space="0" w:color="auto"/>
        <w:right w:val="none" w:sz="0" w:space="0" w:color="auto"/>
      </w:divBdr>
    </w:div>
    <w:div w:id="1897088101">
      <w:bodyDiv w:val="1"/>
      <w:marLeft w:val="0"/>
      <w:marRight w:val="0"/>
      <w:marTop w:val="0"/>
      <w:marBottom w:val="0"/>
      <w:divBdr>
        <w:top w:val="none" w:sz="0" w:space="0" w:color="auto"/>
        <w:left w:val="none" w:sz="0" w:space="0" w:color="auto"/>
        <w:bottom w:val="none" w:sz="0" w:space="0" w:color="auto"/>
        <w:right w:val="none" w:sz="0" w:space="0" w:color="auto"/>
      </w:divBdr>
    </w:div>
    <w:div w:id="1912226830">
      <w:bodyDiv w:val="1"/>
      <w:marLeft w:val="0"/>
      <w:marRight w:val="0"/>
      <w:marTop w:val="0"/>
      <w:marBottom w:val="0"/>
      <w:divBdr>
        <w:top w:val="none" w:sz="0" w:space="0" w:color="auto"/>
        <w:left w:val="none" w:sz="0" w:space="0" w:color="auto"/>
        <w:bottom w:val="none" w:sz="0" w:space="0" w:color="auto"/>
        <w:right w:val="none" w:sz="0" w:space="0" w:color="auto"/>
      </w:divBdr>
    </w:div>
    <w:div w:id="1925606141">
      <w:bodyDiv w:val="1"/>
      <w:marLeft w:val="0"/>
      <w:marRight w:val="0"/>
      <w:marTop w:val="0"/>
      <w:marBottom w:val="0"/>
      <w:divBdr>
        <w:top w:val="none" w:sz="0" w:space="0" w:color="auto"/>
        <w:left w:val="none" w:sz="0" w:space="0" w:color="auto"/>
        <w:bottom w:val="none" w:sz="0" w:space="0" w:color="auto"/>
        <w:right w:val="none" w:sz="0" w:space="0" w:color="auto"/>
      </w:divBdr>
    </w:div>
    <w:div w:id="1941335724">
      <w:bodyDiv w:val="1"/>
      <w:marLeft w:val="0"/>
      <w:marRight w:val="0"/>
      <w:marTop w:val="0"/>
      <w:marBottom w:val="0"/>
      <w:divBdr>
        <w:top w:val="none" w:sz="0" w:space="0" w:color="auto"/>
        <w:left w:val="none" w:sz="0" w:space="0" w:color="auto"/>
        <w:bottom w:val="none" w:sz="0" w:space="0" w:color="auto"/>
        <w:right w:val="none" w:sz="0" w:space="0" w:color="auto"/>
      </w:divBdr>
    </w:div>
    <w:div w:id="1943492132">
      <w:bodyDiv w:val="1"/>
      <w:marLeft w:val="0"/>
      <w:marRight w:val="0"/>
      <w:marTop w:val="0"/>
      <w:marBottom w:val="0"/>
      <w:divBdr>
        <w:top w:val="none" w:sz="0" w:space="0" w:color="auto"/>
        <w:left w:val="none" w:sz="0" w:space="0" w:color="auto"/>
        <w:bottom w:val="none" w:sz="0" w:space="0" w:color="auto"/>
        <w:right w:val="none" w:sz="0" w:space="0" w:color="auto"/>
      </w:divBdr>
    </w:div>
    <w:div w:id="1999771779">
      <w:bodyDiv w:val="1"/>
      <w:marLeft w:val="0"/>
      <w:marRight w:val="0"/>
      <w:marTop w:val="0"/>
      <w:marBottom w:val="0"/>
      <w:divBdr>
        <w:top w:val="none" w:sz="0" w:space="0" w:color="auto"/>
        <w:left w:val="none" w:sz="0" w:space="0" w:color="auto"/>
        <w:bottom w:val="none" w:sz="0" w:space="0" w:color="auto"/>
        <w:right w:val="none" w:sz="0" w:space="0" w:color="auto"/>
      </w:divBdr>
      <w:divsChild>
        <w:div w:id="1305811256">
          <w:marLeft w:val="0"/>
          <w:marRight w:val="0"/>
          <w:marTop w:val="0"/>
          <w:marBottom w:val="0"/>
          <w:divBdr>
            <w:top w:val="none" w:sz="0" w:space="0" w:color="auto"/>
            <w:left w:val="none" w:sz="0" w:space="0" w:color="auto"/>
            <w:bottom w:val="none" w:sz="0" w:space="0" w:color="auto"/>
            <w:right w:val="none" w:sz="0" w:space="0" w:color="auto"/>
          </w:divBdr>
        </w:div>
      </w:divsChild>
    </w:div>
    <w:div w:id="2027948044">
      <w:bodyDiv w:val="1"/>
      <w:marLeft w:val="0"/>
      <w:marRight w:val="0"/>
      <w:marTop w:val="0"/>
      <w:marBottom w:val="0"/>
      <w:divBdr>
        <w:top w:val="none" w:sz="0" w:space="0" w:color="auto"/>
        <w:left w:val="none" w:sz="0" w:space="0" w:color="auto"/>
        <w:bottom w:val="none" w:sz="0" w:space="0" w:color="auto"/>
        <w:right w:val="none" w:sz="0" w:space="0" w:color="auto"/>
      </w:divBdr>
    </w:div>
    <w:div w:id="2037845773">
      <w:bodyDiv w:val="1"/>
      <w:marLeft w:val="0"/>
      <w:marRight w:val="0"/>
      <w:marTop w:val="0"/>
      <w:marBottom w:val="0"/>
      <w:divBdr>
        <w:top w:val="none" w:sz="0" w:space="0" w:color="auto"/>
        <w:left w:val="none" w:sz="0" w:space="0" w:color="auto"/>
        <w:bottom w:val="none" w:sz="0" w:space="0" w:color="auto"/>
        <w:right w:val="none" w:sz="0" w:space="0" w:color="auto"/>
      </w:divBdr>
      <w:divsChild>
        <w:div w:id="287276534">
          <w:marLeft w:val="0"/>
          <w:marRight w:val="0"/>
          <w:marTop w:val="0"/>
          <w:marBottom w:val="0"/>
          <w:divBdr>
            <w:top w:val="none" w:sz="0" w:space="0" w:color="auto"/>
            <w:left w:val="none" w:sz="0" w:space="0" w:color="auto"/>
            <w:bottom w:val="none" w:sz="0" w:space="0" w:color="auto"/>
            <w:right w:val="none" w:sz="0" w:space="0" w:color="auto"/>
          </w:divBdr>
        </w:div>
        <w:div w:id="327566063">
          <w:marLeft w:val="0"/>
          <w:marRight w:val="0"/>
          <w:marTop w:val="0"/>
          <w:marBottom w:val="0"/>
          <w:divBdr>
            <w:top w:val="none" w:sz="0" w:space="0" w:color="auto"/>
            <w:left w:val="none" w:sz="0" w:space="0" w:color="auto"/>
            <w:bottom w:val="none" w:sz="0" w:space="0" w:color="auto"/>
            <w:right w:val="none" w:sz="0" w:space="0" w:color="auto"/>
          </w:divBdr>
        </w:div>
        <w:div w:id="1042822338">
          <w:marLeft w:val="0"/>
          <w:marRight w:val="0"/>
          <w:marTop w:val="0"/>
          <w:marBottom w:val="0"/>
          <w:divBdr>
            <w:top w:val="none" w:sz="0" w:space="0" w:color="auto"/>
            <w:left w:val="none" w:sz="0" w:space="0" w:color="auto"/>
            <w:bottom w:val="none" w:sz="0" w:space="0" w:color="auto"/>
            <w:right w:val="none" w:sz="0" w:space="0" w:color="auto"/>
          </w:divBdr>
        </w:div>
        <w:div w:id="1653098773">
          <w:marLeft w:val="0"/>
          <w:marRight w:val="0"/>
          <w:marTop w:val="0"/>
          <w:marBottom w:val="0"/>
          <w:divBdr>
            <w:top w:val="none" w:sz="0" w:space="0" w:color="auto"/>
            <w:left w:val="none" w:sz="0" w:space="0" w:color="auto"/>
            <w:bottom w:val="none" w:sz="0" w:space="0" w:color="auto"/>
            <w:right w:val="none" w:sz="0" w:space="0" w:color="auto"/>
          </w:divBdr>
        </w:div>
        <w:div w:id="2040888876">
          <w:marLeft w:val="0"/>
          <w:marRight w:val="0"/>
          <w:marTop w:val="0"/>
          <w:marBottom w:val="0"/>
          <w:divBdr>
            <w:top w:val="none" w:sz="0" w:space="0" w:color="auto"/>
            <w:left w:val="none" w:sz="0" w:space="0" w:color="auto"/>
            <w:bottom w:val="none" w:sz="0" w:space="0" w:color="auto"/>
            <w:right w:val="none" w:sz="0" w:space="0" w:color="auto"/>
          </w:divBdr>
        </w:div>
      </w:divsChild>
    </w:div>
    <w:div w:id="2078431164">
      <w:bodyDiv w:val="1"/>
      <w:marLeft w:val="0"/>
      <w:marRight w:val="0"/>
      <w:marTop w:val="0"/>
      <w:marBottom w:val="0"/>
      <w:divBdr>
        <w:top w:val="none" w:sz="0" w:space="0" w:color="auto"/>
        <w:left w:val="none" w:sz="0" w:space="0" w:color="auto"/>
        <w:bottom w:val="none" w:sz="0" w:space="0" w:color="auto"/>
        <w:right w:val="none" w:sz="0" w:space="0" w:color="auto"/>
      </w:divBdr>
      <w:divsChild>
        <w:div w:id="699746806">
          <w:marLeft w:val="-4200"/>
          <w:marRight w:val="0"/>
          <w:marTop w:val="0"/>
          <w:marBottom w:val="0"/>
          <w:divBdr>
            <w:top w:val="none" w:sz="0" w:space="0" w:color="auto"/>
            <w:left w:val="none" w:sz="0" w:space="0" w:color="auto"/>
            <w:bottom w:val="none" w:sz="0" w:space="0" w:color="auto"/>
            <w:right w:val="none" w:sz="0" w:space="0" w:color="auto"/>
          </w:divBdr>
          <w:divsChild>
            <w:div w:id="1041056410">
              <w:marLeft w:val="4200"/>
              <w:marRight w:val="0"/>
              <w:marTop w:val="0"/>
              <w:marBottom w:val="0"/>
              <w:divBdr>
                <w:top w:val="none" w:sz="0" w:space="0" w:color="auto"/>
                <w:left w:val="none" w:sz="0" w:space="0" w:color="auto"/>
                <w:bottom w:val="none" w:sz="0" w:space="0" w:color="auto"/>
                <w:right w:val="none" w:sz="0" w:space="0" w:color="auto"/>
              </w:divBdr>
              <w:divsChild>
                <w:div w:id="3488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15511">
          <w:marLeft w:val="0"/>
          <w:marRight w:val="0"/>
          <w:marTop w:val="0"/>
          <w:marBottom w:val="0"/>
          <w:divBdr>
            <w:top w:val="none" w:sz="0" w:space="0" w:color="auto"/>
            <w:left w:val="none" w:sz="0" w:space="0" w:color="auto"/>
            <w:bottom w:val="none" w:sz="0" w:space="0" w:color="auto"/>
            <w:right w:val="none" w:sz="0" w:space="0" w:color="auto"/>
          </w:divBdr>
          <w:divsChild>
            <w:div w:id="2031031246">
              <w:marLeft w:val="0"/>
              <w:marRight w:val="0"/>
              <w:marTop w:val="0"/>
              <w:marBottom w:val="4800"/>
              <w:divBdr>
                <w:top w:val="none" w:sz="0" w:space="0" w:color="auto"/>
                <w:left w:val="none" w:sz="0" w:space="0" w:color="auto"/>
                <w:bottom w:val="none" w:sz="0" w:space="0" w:color="auto"/>
                <w:right w:val="none" w:sz="0" w:space="0" w:color="auto"/>
              </w:divBdr>
              <w:divsChild>
                <w:div w:id="1076321306">
                  <w:marLeft w:val="0"/>
                  <w:marRight w:val="0"/>
                  <w:marTop w:val="0"/>
                  <w:marBottom w:val="0"/>
                  <w:divBdr>
                    <w:top w:val="none" w:sz="0" w:space="0" w:color="auto"/>
                    <w:left w:val="none" w:sz="0" w:space="0" w:color="auto"/>
                    <w:bottom w:val="none" w:sz="0" w:space="0" w:color="auto"/>
                    <w:right w:val="none" w:sz="0" w:space="0" w:color="auto"/>
                  </w:divBdr>
                  <w:divsChild>
                    <w:div w:id="1244488386">
                      <w:marLeft w:val="0"/>
                      <w:marRight w:val="0"/>
                      <w:marTop w:val="120"/>
                      <w:marBottom w:val="0"/>
                      <w:divBdr>
                        <w:top w:val="none" w:sz="0" w:space="0" w:color="auto"/>
                        <w:left w:val="none" w:sz="0" w:space="0" w:color="auto"/>
                        <w:bottom w:val="none" w:sz="0" w:space="0" w:color="auto"/>
                        <w:right w:val="none" w:sz="0" w:space="0" w:color="auto"/>
                      </w:divBdr>
                      <w:divsChild>
                        <w:div w:id="1332562137">
                          <w:marLeft w:val="0"/>
                          <w:marRight w:val="0"/>
                          <w:marTop w:val="0"/>
                          <w:marBottom w:val="0"/>
                          <w:divBdr>
                            <w:top w:val="none" w:sz="0" w:space="0" w:color="auto"/>
                            <w:left w:val="none" w:sz="0" w:space="0" w:color="auto"/>
                            <w:bottom w:val="none" w:sz="0" w:space="0" w:color="auto"/>
                            <w:right w:val="none" w:sz="0" w:space="0" w:color="auto"/>
                          </w:divBdr>
                          <w:divsChild>
                            <w:div w:id="1687748893">
                              <w:marLeft w:val="0"/>
                              <w:marRight w:val="0"/>
                              <w:marTop w:val="0"/>
                              <w:marBottom w:val="0"/>
                              <w:divBdr>
                                <w:top w:val="none" w:sz="0" w:space="0" w:color="auto"/>
                                <w:left w:val="none" w:sz="0" w:space="0" w:color="auto"/>
                                <w:bottom w:val="none" w:sz="0" w:space="0" w:color="auto"/>
                                <w:right w:val="none" w:sz="0" w:space="0" w:color="auto"/>
                              </w:divBdr>
                              <w:divsChild>
                                <w:div w:id="7728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554534">
      <w:bodyDiv w:val="1"/>
      <w:marLeft w:val="0"/>
      <w:marRight w:val="0"/>
      <w:marTop w:val="0"/>
      <w:marBottom w:val="0"/>
      <w:divBdr>
        <w:top w:val="none" w:sz="0" w:space="0" w:color="auto"/>
        <w:left w:val="none" w:sz="0" w:space="0" w:color="auto"/>
        <w:bottom w:val="none" w:sz="0" w:space="0" w:color="auto"/>
        <w:right w:val="none" w:sz="0" w:space="0" w:color="auto"/>
      </w:divBdr>
      <w:divsChild>
        <w:div w:id="493691214">
          <w:marLeft w:val="0"/>
          <w:marRight w:val="0"/>
          <w:marTop w:val="0"/>
          <w:marBottom w:val="0"/>
          <w:divBdr>
            <w:top w:val="none" w:sz="0" w:space="0" w:color="auto"/>
            <w:left w:val="none" w:sz="0" w:space="0" w:color="auto"/>
            <w:bottom w:val="none" w:sz="0" w:space="0" w:color="auto"/>
            <w:right w:val="none" w:sz="0" w:space="0" w:color="auto"/>
          </w:divBdr>
          <w:divsChild>
            <w:div w:id="76482037">
              <w:marLeft w:val="0"/>
              <w:marRight w:val="0"/>
              <w:marTop w:val="0"/>
              <w:marBottom w:val="4800"/>
              <w:divBdr>
                <w:top w:val="none" w:sz="0" w:space="0" w:color="auto"/>
                <w:left w:val="none" w:sz="0" w:space="0" w:color="auto"/>
                <w:bottom w:val="none" w:sz="0" w:space="0" w:color="auto"/>
                <w:right w:val="none" w:sz="0" w:space="0" w:color="auto"/>
              </w:divBdr>
              <w:divsChild>
                <w:div w:id="1836145340">
                  <w:marLeft w:val="0"/>
                  <w:marRight w:val="0"/>
                  <w:marTop w:val="0"/>
                  <w:marBottom w:val="0"/>
                  <w:divBdr>
                    <w:top w:val="none" w:sz="0" w:space="0" w:color="auto"/>
                    <w:left w:val="none" w:sz="0" w:space="0" w:color="auto"/>
                    <w:bottom w:val="none" w:sz="0" w:space="0" w:color="auto"/>
                    <w:right w:val="none" w:sz="0" w:space="0" w:color="auto"/>
                  </w:divBdr>
                  <w:divsChild>
                    <w:div w:id="1430274245">
                      <w:marLeft w:val="0"/>
                      <w:marRight w:val="0"/>
                      <w:marTop w:val="120"/>
                      <w:marBottom w:val="0"/>
                      <w:divBdr>
                        <w:top w:val="none" w:sz="0" w:space="0" w:color="auto"/>
                        <w:left w:val="none" w:sz="0" w:space="0" w:color="auto"/>
                        <w:bottom w:val="none" w:sz="0" w:space="0" w:color="auto"/>
                        <w:right w:val="none" w:sz="0" w:space="0" w:color="auto"/>
                      </w:divBdr>
                      <w:divsChild>
                        <w:div w:id="626548635">
                          <w:marLeft w:val="0"/>
                          <w:marRight w:val="0"/>
                          <w:marTop w:val="0"/>
                          <w:marBottom w:val="0"/>
                          <w:divBdr>
                            <w:top w:val="none" w:sz="0" w:space="0" w:color="auto"/>
                            <w:left w:val="none" w:sz="0" w:space="0" w:color="auto"/>
                            <w:bottom w:val="none" w:sz="0" w:space="0" w:color="auto"/>
                            <w:right w:val="none" w:sz="0" w:space="0" w:color="auto"/>
                          </w:divBdr>
                          <w:divsChild>
                            <w:div w:id="1509830460">
                              <w:marLeft w:val="0"/>
                              <w:marRight w:val="0"/>
                              <w:marTop w:val="0"/>
                              <w:marBottom w:val="0"/>
                              <w:divBdr>
                                <w:top w:val="none" w:sz="0" w:space="0" w:color="auto"/>
                                <w:left w:val="none" w:sz="0" w:space="0" w:color="auto"/>
                                <w:bottom w:val="none" w:sz="0" w:space="0" w:color="auto"/>
                                <w:right w:val="none" w:sz="0" w:space="0" w:color="auto"/>
                              </w:divBdr>
                              <w:divsChild>
                                <w:div w:id="18396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340176">
      <w:bodyDiv w:val="1"/>
      <w:marLeft w:val="0"/>
      <w:marRight w:val="0"/>
      <w:marTop w:val="0"/>
      <w:marBottom w:val="0"/>
      <w:divBdr>
        <w:top w:val="none" w:sz="0" w:space="0" w:color="auto"/>
        <w:left w:val="none" w:sz="0" w:space="0" w:color="auto"/>
        <w:bottom w:val="none" w:sz="0" w:space="0" w:color="auto"/>
        <w:right w:val="none" w:sz="0" w:space="0" w:color="auto"/>
      </w:divBdr>
    </w:div>
    <w:div w:id="212595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image" Target="media/image8.png"/><Relationship Id="rId47" Type="http://schemas.openxmlformats.org/officeDocument/2006/relationships/hyperlink" Target="https://www.caclimateinvestments.ca.gov/" TargetMode="External"/><Relationship Id="rId63" Type="http://schemas.openxmlformats.org/officeDocument/2006/relationships/footer" Target="footer7.xml"/><Relationship Id="rId68" Type="http://schemas.openxmlformats.org/officeDocument/2006/relationships/hyperlink" Target="https://ww2.arb.ca.gov/" TargetMode="External"/><Relationship Id="rId84" Type="http://schemas.openxmlformats.org/officeDocument/2006/relationships/footer" Target="footer9.xml"/><Relationship Id="rId16" Type="http://schemas.openxmlformats.org/officeDocument/2006/relationships/header" Target="header2.xml"/><Relationship Id="rId11" Type="http://schemas.openxmlformats.org/officeDocument/2006/relationships/hyperlink" Target="mailto:regionalplans@visitcalifornia.com" TargetMode="External"/><Relationship Id="rId32" Type="http://schemas.openxmlformats.org/officeDocument/2006/relationships/hyperlink" Target="https://covidactnow.org/?s=50083753" TargetMode="External"/><Relationship Id="rId37" Type="http://schemas.openxmlformats.org/officeDocument/2006/relationships/header" Target="header5.xml"/><Relationship Id="rId53" Type="http://schemas.openxmlformats.org/officeDocument/2006/relationships/hyperlink" Target="https://www.tripadvisor.com/" TargetMode="External"/><Relationship Id="rId58" Type="http://schemas.openxmlformats.org/officeDocument/2006/relationships/hyperlink" Target="https://hazards.fema.gov/nri/social-vulnerability" TargetMode="External"/><Relationship Id="rId74" Type="http://schemas.openxmlformats.org/officeDocument/2006/relationships/hyperlink" Target="https://www.prism.oregonstate.edu/" TargetMode="External"/><Relationship Id="rId79" Type="http://schemas.openxmlformats.org/officeDocument/2006/relationships/footer" Target="footer8.xml"/><Relationship Id="rId5" Type="http://schemas.openxmlformats.org/officeDocument/2006/relationships/numbering" Target="numbering.xml"/><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s://adaptwest.databasin.org/pages/adaptwest-climatena/" TargetMode="External"/><Relationship Id="rId35" Type="http://schemas.openxmlformats.org/officeDocument/2006/relationships/image" Target="media/image6.png"/><Relationship Id="rId43" Type="http://schemas.openxmlformats.org/officeDocument/2006/relationships/hyperlink" Target="https://storymaps.arcgis.com/stories/48ded9841f1c413994a79d31f6fae62e" TargetMode="External"/><Relationship Id="rId48" Type="http://schemas.openxmlformats.org/officeDocument/2006/relationships/hyperlink" Target="https://www.caclimateinvestments.ca.gov/" TargetMode="External"/><Relationship Id="rId56" Type="http://schemas.openxmlformats.org/officeDocument/2006/relationships/image" Target="media/image11.png"/><Relationship Id="rId64" Type="http://schemas.openxmlformats.org/officeDocument/2006/relationships/image" Target="media/image12.png"/><Relationship Id="rId69" Type="http://schemas.openxmlformats.org/officeDocument/2006/relationships/hyperlink" Target="https://www.nps.gov/subjects/nationalregister/index.htm" TargetMode="External"/><Relationship Id="rId77" Type="http://schemas.openxmlformats.org/officeDocument/2006/relationships/hyperlink" Target="https://www.abta.com/sites/default/files/media/document/uploads/Global%20Welfare%20Guidance%20for%20Animals%20in%20Tourism%202019%20version.pdf" TargetMode="External"/><Relationship Id="rId8" Type="http://schemas.openxmlformats.org/officeDocument/2006/relationships/webSettings" Target="webSettings.xml"/><Relationship Id="rId51" Type="http://schemas.openxmlformats.org/officeDocument/2006/relationships/hyperlink" Target="https://www.caclimateinvestments.ca.gov/" TargetMode="External"/><Relationship Id="rId72" Type="http://schemas.openxmlformats.org/officeDocument/2006/relationships/hyperlink" Target="https://droughtmonitor.unl.edu/CurrentMap/StateDroughtMonitor.aspx?CA" TargetMode="External"/><Relationship Id="rId80" Type="http://schemas.openxmlformats.org/officeDocument/2006/relationships/hyperlink" Target="https://www.risklayer-explorer.com/region/title=California/overview"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ssets.visitcalifornia.com/media/?mediaId=E35717D0-ADAA-4E28-B9A9388EC158A101" TargetMode="Externa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s://www.hudexchange.info/programs/coc/gis-tools/" TargetMode="External"/><Relationship Id="rId38" Type="http://schemas.openxmlformats.org/officeDocument/2006/relationships/footer" Target="footer5.xml"/><Relationship Id="rId46" Type="http://schemas.openxmlformats.org/officeDocument/2006/relationships/hyperlink" Target="https://ww2.arb.ca.gov/our-work/programs/mandatory-greenhouse-gas-emissions-reporting" TargetMode="External"/><Relationship Id="rId59" Type="http://schemas.openxmlformats.org/officeDocument/2006/relationships/hyperlink" Target="https://www.fema.gov/sites/default/files/documents/fema_national-risk-index_technical-documentation.pdf" TargetMode="External"/><Relationship Id="rId67" Type="http://schemas.openxmlformats.org/officeDocument/2006/relationships/hyperlink" Target="https://oehha.ca.gov/calenviroscreen/report/calenviroscreen-40" TargetMode="External"/><Relationship Id="rId20" Type="http://schemas.openxmlformats.org/officeDocument/2006/relationships/header" Target="header3.xml"/><Relationship Id="rId41" Type="http://schemas.openxmlformats.org/officeDocument/2006/relationships/image" Target="media/image7.png"/><Relationship Id="rId54" Type="http://schemas.openxmlformats.org/officeDocument/2006/relationships/header" Target="header6.xml"/><Relationship Id="rId62" Type="http://schemas.openxmlformats.org/officeDocument/2006/relationships/header" Target="header7.xml"/><Relationship Id="rId70" Type="http://schemas.openxmlformats.org/officeDocument/2006/relationships/hyperlink" Target="https://www.waterboards.ca.gov/water_issues/programs/swamp/bioassessment/docs/csci_factsheet.pdf" TargetMode="External"/><Relationship Id="rId75" Type="http://schemas.openxmlformats.org/officeDocument/2006/relationships/hyperlink" Target="https://www.wri.org/aqueduct" TargetMode="External"/><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risklayer-explorer.com/region/title=California/detail/California%20Los%20Angeles%20County" TargetMode="External"/><Relationship Id="rId28" Type="http://schemas.openxmlformats.org/officeDocument/2006/relationships/hyperlink" Target="https://www.fema.gov/sites/default/files/documents/fema_hazus-inventory-national-database-dictionary.pdf" TargetMode="External"/><Relationship Id="rId36" Type="http://schemas.openxmlformats.org/officeDocument/2006/relationships/hyperlink" Target="https://www.risklayer-explorer.com/region/title=California/overview" TargetMode="External"/><Relationship Id="rId49" Type="http://schemas.openxmlformats.org/officeDocument/2006/relationships/hyperlink" Target="https://www.caclimateinvestments.ca.gov/priority-populations" TargetMode="External"/><Relationship Id="rId57" Type="http://schemas.openxmlformats.org/officeDocument/2006/relationships/hyperlink" Target="https://hazards.fema.gov/nri/" TargetMode="External"/><Relationship Id="rId10" Type="http://schemas.openxmlformats.org/officeDocument/2006/relationships/endnotes" Target="endnotes.xml"/><Relationship Id="rId31" Type="http://schemas.openxmlformats.org/officeDocument/2006/relationships/hyperlink" Target="https://hazards.fema.gov/nri/" TargetMode="External"/><Relationship Id="rId44" Type="http://schemas.openxmlformats.org/officeDocument/2006/relationships/image" Target="media/image9.png"/><Relationship Id="rId52" Type="http://schemas.openxmlformats.org/officeDocument/2006/relationships/image" Target="media/image10.png"/><Relationship Id="rId60" Type="http://schemas.openxmlformats.org/officeDocument/2006/relationships/hyperlink" Target="https://hazards.fema.gov/nri/community-resilience" TargetMode="External"/><Relationship Id="rId65" Type="http://schemas.openxmlformats.org/officeDocument/2006/relationships/hyperlink" Target="https://calands.org/" TargetMode="External"/><Relationship Id="rId73" Type="http://schemas.openxmlformats.org/officeDocument/2006/relationships/hyperlink" Target="https://droughtmonitor.unl.edu/CurrentMap/StateDroughtMonitor.aspx?CA" TargetMode="External"/><Relationship Id="rId78" Type="http://schemas.openxmlformats.org/officeDocument/2006/relationships/header" Target="header8.xml"/><Relationship Id="rId81" Type="http://schemas.openxmlformats.org/officeDocument/2006/relationships/hyperlink" Target="https://www.fs.usda.gov/visit/know-you-go"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assets.visitcalifornia.com/media/?mediaId=EBF4ED23-1C19-4A72-A66C4B4882250563" TargetMode="External"/><Relationship Id="rId39" Type="http://schemas.openxmlformats.org/officeDocument/2006/relationships/hyperlink" Target="https://www.smgov.net/uploadedFiles/Departments/OSE/Climate/CAAP_SantaMonica.PDF" TargetMode="External"/><Relationship Id="rId34" Type="http://schemas.openxmlformats.org/officeDocument/2006/relationships/image" Target="media/image5.png"/><Relationship Id="rId50" Type="http://schemas.openxmlformats.org/officeDocument/2006/relationships/hyperlink" Target="https://www.caclimateinvestments.ca.gov/" TargetMode="External"/><Relationship Id="rId55" Type="http://schemas.openxmlformats.org/officeDocument/2006/relationships/footer" Target="footer6.xml"/><Relationship Id="rId76" Type="http://schemas.openxmlformats.org/officeDocument/2006/relationships/hyperlink" Target="https://www.wri.org/aqueduct" TargetMode="External"/><Relationship Id="rId7" Type="http://schemas.openxmlformats.org/officeDocument/2006/relationships/settings" Target="settings.xml"/><Relationship Id="rId71" Type="http://schemas.openxmlformats.org/officeDocument/2006/relationships/hyperlink" Target="https://www.energy.ca.gov/data-reports/energy-almanac/california-electricity-data/electric-generation-capacity-and-energy" TargetMode="External"/><Relationship Id="rId2" Type="http://schemas.openxmlformats.org/officeDocument/2006/relationships/customXml" Target="../customXml/item2.xml"/><Relationship Id="rId29" Type="http://schemas.openxmlformats.org/officeDocument/2006/relationships/hyperlink" Target="https://hazards.fema.gov/nri/" TargetMode="External"/><Relationship Id="rId24" Type="http://schemas.openxmlformats.org/officeDocument/2006/relationships/hyperlink" Target="https://www.risklayer-explorer.com/region/title=California/detail/California%20Los%20Angeles%20County" TargetMode="External"/><Relationship Id="rId40" Type="http://schemas.openxmlformats.org/officeDocument/2006/relationships/hyperlink" Target="https://planning.lacounty.gov/long-range-planning/climate-action-plan/" TargetMode="External"/><Relationship Id="rId45" Type="http://schemas.openxmlformats.org/officeDocument/2006/relationships/hyperlink" Target="https://www.tripadvisor.com/GreenLeaders" TargetMode="External"/><Relationship Id="rId66" Type="http://schemas.openxmlformats.org/officeDocument/2006/relationships/hyperlink" Target="https://wildlife.ca.gov/Data/Analysis/ACE" TargetMode="External"/><Relationship Id="rId87" Type="http://schemas.microsoft.com/office/2020/10/relationships/intelligence" Target="intelligence2.xml"/><Relationship Id="rId61" Type="http://schemas.openxmlformats.org/officeDocument/2006/relationships/hyperlink" Target="https://www.fema.gov/sites/default/files/documents/fema_national-risk-index_technical-documentation.pdf" TargetMode="External"/><Relationship Id="rId82" Type="http://schemas.openxmlformats.org/officeDocument/2006/relationships/hyperlink" Target="https://planning.lacounty.gov/long-range-planning/general-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485B01E3541E4CAEDC78BC706F4C46" ma:contentTypeVersion="18" ma:contentTypeDescription="Create a new document." ma:contentTypeScope="" ma:versionID="a0195f07489c76a53639cc03adbc25a0">
  <xsd:schema xmlns:xsd="http://www.w3.org/2001/XMLSchema" xmlns:xs="http://www.w3.org/2001/XMLSchema" xmlns:p="http://schemas.microsoft.com/office/2006/metadata/properties" xmlns:ns2="fa873147-ddca-4b8f-a1d7-3956575b5462" xmlns:ns3="f3518100-223c-4dfc-ad66-4b3b3fccffa5" targetNamespace="http://schemas.microsoft.com/office/2006/metadata/properties" ma:root="true" ma:fieldsID="cbebf308f5a9c83ff962f02ef216ca80" ns2:_="" ns3:_="">
    <xsd:import namespace="fa873147-ddca-4b8f-a1d7-3956575b5462"/>
    <xsd:import namespace="f3518100-223c-4dfc-ad66-4b3b3fccffa5"/>
    <xsd:element name="properties">
      <xsd:complexType>
        <xsd:sequence>
          <xsd:element name="documentManagement">
            <xsd:complexType>
              <xsd:all>
                <xsd:element ref="ns2:Departments"/>
                <xsd:element ref="ns2:MediaServiceMetadata" minOccurs="0"/>
                <xsd:element ref="ns2:MediaServiceFastMetadata" minOccurs="0"/>
                <xsd:element ref="ns2:MediaServiceAutoTags" minOccurs="0"/>
                <xsd:element ref="ns2:MediaServiceOCR"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873147-ddca-4b8f-a1d7-3956575b5462" elementFormDefault="qualified">
    <xsd:import namespace="http://schemas.microsoft.com/office/2006/documentManagement/types"/>
    <xsd:import namespace="http://schemas.microsoft.com/office/infopath/2007/PartnerControls"/>
    <xsd:element name="Departments" ma:index="2" ma:displayName="Departments" ma:default="Rural" ma:description="Department Name" ma:format="Dropdown" ma:indexed="true" ma:internalName="Departments" ma:readOnly="false">
      <xsd:simpleType>
        <xsd:restriction base="dms:Choice">
          <xsd:enumeration value="Communications"/>
          <xsd:enumeration value="California Welcome Center"/>
          <xsd:enumeration value="Assessment"/>
          <xsd:enumeration value="Industry Relations"/>
          <xsd:enumeration value="Media Relations"/>
          <xsd:enumeration value="Rural"/>
          <xsd:enumeration value="Marketing"/>
          <xsd:enumeration value="Advertising"/>
          <xsd:enumeration value="Interactive"/>
          <xsd:enumeration value="International"/>
          <xsd:enumeration value="Travel Trade"/>
          <xsd:enumeration value="Research"/>
          <xsd:enumeration value="Operations"/>
          <xsd:enumeration value="Information Technology"/>
          <xsd:enumeration value="Human Resources"/>
          <xsd:enumeration value="Finan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48b6bc-314d-408e-b346-5eed8cc735e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518100-223c-4dfc-ad66-4b3b3fccffa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f72ea36-3fa7-4044-9f06-1c39afa961e3}" ma:internalName="TaxCatchAll" ma:showField="CatchAllData" ma:web="f3518100-223c-4dfc-ad66-4b3b3fccff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3518100-223c-4dfc-ad66-4b3b3fccffa5" xsi:nil="true"/>
    <Departments xmlns="fa873147-ddca-4b8f-a1d7-3956575b5462">Rural</Departments>
    <lcf76f155ced4ddcb4097134ff3c332f xmlns="fa873147-ddca-4b8f-a1d7-3956575b54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AA7BA9-752F-1D44-A3D0-70F9D05FA329}">
  <ds:schemaRefs>
    <ds:schemaRef ds:uri="http://schemas.openxmlformats.org/officeDocument/2006/bibliography"/>
  </ds:schemaRefs>
</ds:datastoreItem>
</file>

<file path=customXml/itemProps2.xml><?xml version="1.0" encoding="utf-8"?>
<ds:datastoreItem xmlns:ds="http://schemas.openxmlformats.org/officeDocument/2006/customXml" ds:itemID="{1D3FA0A2-1AB7-4152-BDEC-43C9ACDEF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873147-ddca-4b8f-a1d7-3956575b5462"/>
    <ds:schemaRef ds:uri="f3518100-223c-4dfc-ad66-4b3b3fccf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9B802D-2C02-4213-AAF0-418B0877A3BC}">
  <ds:schemaRefs>
    <ds:schemaRef ds:uri="http://schemas.microsoft.com/sharepoint/v3/contenttype/forms"/>
  </ds:schemaRefs>
</ds:datastoreItem>
</file>

<file path=customXml/itemProps4.xml><?xml version="1.0" encoding="utf-8"?>
<ds:datastoreItem xmlns:ds="http://schemas.openxmlformats.org/officeDocument/2006/customXml" ds:itemID="{5BE774F9-CDF7-46A1-8107-9542CA2E1EE2}">
  <ds:schemaRefs>
    <ds:schemaRef ds:uri="http://schemas.microsoft.com/office/2006/metadata/properties"/>
    <ds:schemaRef ds:uri="http://schemas.microsoft.com/office/infopath/2007/PartnerControls"/>
    <ds:schemaRef ds:uri="f3518100-223c-4dfc-ad66-4b3b3fccffa5"/>
    <ds:schemaRef ds:uri="fa873147-ddca-4b8f-a1d7-3956575b5462"/>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41</Pages>
  <Words>12602</Words>
  <Characters>71836</Characters>
  <Application>Microsoft Office Word</Application>
  <DocSecurity>0</DocSecurity>
  <Lines>598</Lines>
  <Paragraphs>168</Paragraphs>
  <ScaleCrop>false</ScaleCrop>
  <Company/>
  <LinksUpToDate>false</LinksUpToDate>
  <CharactersWithSpaces>84270</CharactersWithSpaces>
  <SharedDoc>false</SharedDoc>
  <HLinks>
    <vt:vector size="264" baseType="variant">
      <vt:variant>
        <vt:i4>8126585</vt:i4>
      </vt:variant>
      <vt:variant>
        <vt:i4>132</vt:i4>
      </vt:variant>
      <vt:variant>
        <vt:i4>0</vt:i4>
      </vt:variant>
      <vt:variant>
        <vt:i4>5</vt:i4>
      </vt:variant>
      <vt:variant>
        <vt:lpwstr>https://planning.lacounty.gov/long-range-planning/general-plan/</vt:lpwstr>
      </vt:variant>
      <vt:variant>
        <vt:lpwstr/>
      </vt:variant>
      <vt:variant>
        <vt:i4>2162811</vt:i4>
      </vt:variant>
      <vt:variant>
        <vt:i4>129</vt:i4>
      </vt:variant>
      <vt:variant>
        <vt:i4>0</vt:i4>
      </vt:variant>
      <vt:variant>
        <vt:i4>5</vt:i4>
      </vt:variant>
      <vt:variant>
        <vt:lpwstr>https://www.arrivalist.com/</vt:lpwstr>
      </vt:variant>
      <vt:variant>
        <vt:lpwstr/>
      </vt:variant>
      <vt:variant>
        <vt:i4>1638417</vt:i4>
      </vt:variant>
      <vt:variant>
        <vt:i4>126</vt:i4>
      </vt:variant>
      <vt:variant>
        <vt:i4>0</vt:i4>
      </vt:variant>
      <vt:variant>
        <vt:i4>5</vt:i4>
      </vt:variant>
      <vt:variant>
        <vt:lpwstr>https://www.fs.usda.gov/visit/know-you-go</vt:lpwstr>
      </vt:variant>
      <vt:variant>
        <vt:lpwstr/>
      </vt:variant>
      <vt:variant>
        <vt:i4>6619232</vt:i4>
      </vt:variant>
      <vt:variant>
        <vt:i4>123</vt:i4>
      </vt:variant>
      <vt:variant>
        <vt:i4>0</vt:i4>
      </vt:variant>
      <vt:variant>
        <vt:i4>5</vt:i4>
      </vt:variant>
      <vt:variant>
        <vt:lpwstr>https://www.risklayer-explorer.com/region/title=California/overview</vt:lpwstr>
      </vt:variant>
      <vt:variant>
        <vt:lpwstr/>
      </vt:variant>
      <vt:variant>
        <vt:i4>7733294</vt:i4>
      </vt:variant>
      <vt:variant>
        <vt:i4>120</vt:i4>
      </vt:variant>
      <vt:variant>
        <vt:i4>0</vt:i4>
      </vt:variant>
      <vt:variant>
        <vt:i4>5</vt:i4>
      </vt:variant>
      <vt:variant>
        <vt:lpwstr>https://www.abta.com/sites/default/files/media/document/uploads/Global Welfare Guidance for Animals in Tourism 2019 version.pdf</vt:lpwstr>
      </vt:variant>
      <vt:variant>
        <vt:lpwstr/>
      </vt:variant>
      <vt:variant>
        <vt:i4>6029381</vt:i4>
      </vt:variant>
      <vt:variant>
        <vt:i4>117</vt:i4>
      </vt:variant>
      <vt:variant>
        <vt:i4>0</vt:i4>
      </vt:variant>
      <vt:variant>
        <vt:i4>5</vt:i4>
      </vt:variant>
      <vt:variant>
        <vt:lpwstr>https://www.wri.org/aqueduct</vt:lpwstr>
      </vt:variant>
      <vt:variant>
        <vt:lpwstr/>
      </vt:variant>
      <vt:variant>
        <vt:i4>6029381</vt:i4>
      </vt:variant>
      <vt:variant>
        <vt:i4>114</vt:i4>
      </vt:variant>
      <vt:variant>
        <vt:i4>0</vt:i4>
      </vt:variant>
      <vt:variant>
        <vt:i4>5</vt:i4>
      </vt:variant>
      <vt:variant>
        <vt:lpwstr>https://www.wri.org/aqueduct</vt:lpwstr>
      </vt:variant>
      <vt:variant>
        <vt:lpwstr/>
      </vt:variant>
      <vt:variant>
        <vt:i4>7929910</vt:i4>
      </vt:variant>
      <vt:variant>
        <vt:i4>111</vt:i4>
      </vt:variant>
      <vt:variant>
        <vt:i4>0</vt:i4>
      </vt:variant>
      <vt:variant>
        <vt:i4>5</vt:i4>
      </vt:variant>
      <vt:variant>
        <vt:lpwstr>https://www.prism.oregonstate.edu/</vt:lpwstr>
      </vt:variant>
      <vt:variant>
        <vt:lpwstr/>
      </vt:variant>
      <vt:variant>
        <vt:i4>720979</vt:i4>
      </vt:variant>
      <vt:variant>
        <vt:i4>108</vt:i4>
      </vt:variant>
      <vt:variant>
        <vt:i4>0</vt:i4>
      </vt:variant>
      <vt:variant>
        <vt:i4>5</vt:i4>
      </vt:variant>
      <vt:variant>
        <vt:lpwstr>https://droughtmonitor.unl.edu/CurrentMap/StateDroughtMonitor.aspx?CA</vt:lpwstr>
      </vt:variant>
      <vt:variant>
        <vt:lpwstr/>
      </vt:variant>
      <vt:variant>
        <vt:i4>720979</vt:i4>
      </vt:variant>
      <vt:variant>
        <vt:i4>105</vt:i4>
      </vt:variant>
      <vt:variant>
        <vt:i4>0</vt:i4>
      </vt:variant>
      <vt:variant>
        <vt:i4>5</vt:i4>
      </vt:variant>
      <vt:variant>
        <vt:lpwstr>https://droughtmonitor.unl.edu/CurrentMap/StateDroughtMonitor.aspx?CA</vt:lpwstr>
      </vt:variant>
      <vt:variant>
        <vt:lpwstr/>
      </vt:variant>
      <vt:variant>
        <vt:i4>5308489</vt:i4>
      </vt:variant>
      <vt:variant>
        <vt:i4>102</vt:i4>
      </vt:variant>
      <vt:variant>
        <vt:i4>0</vt:i4>
      </vt:variant>
      <vt:variant>
        <vt:i4>5</vt:i4>
      </vt:variant>
      <vt:variant>
        <vt:lpwstr>https://www.energy.ca.gov/data-reports/energy-almanac/california-electricity-data/electric-generation-capacity-and-energy</vt:lpwstr>
      </vt:variant>
      <vt:variant>
        <vt:lpwstr/>
      </vt:variant>
      <vt:variant>
        <vt:i4>720979</vt:i4>
      </vt:variant>
      <vt:variant>
        <vt:i4>99</vt:i4>
      </vt:variant>
      <vt:variant>
        <vt:i4>0</vt:i4>
      </vt:variant>
      <vt:variant>
        <vt:i4>5</vt:i4>
      </vt:variant>
      <vt:variant>
        <vt:lpwstr>https://www.waterboards.ca.gov/water_issues/programs/swamp/bioassessment/docs/csci_factsheet.pdf</vt:lpwstr>
      </vt:variant>
      <vt:variant>
        <vt:lpwstr/>
      </vt:variant>
      <vt:variant>
        <vt:i4>3145854</vt:i4>
      </vt:variant>
      <vt:variant>
        <vt:i4>96</vt:i4>
      </vt:variant>
      <vt:variant>
        <vt:i4>0</vt:i4>
      </vt:variant>
      <vt:variant>
        <vt:i4>5</vt:i4>
      </vt:variant>
      <vt:variant>
        <vt:lpwstr>https://www.nps.gov/subjects/nationalregister/index.htm</vt:lpwstr>
      </vt:variant>
      <vt:variant>
        <vt:lpwstr/>
      </vt:variant>
      <vt:variant>
        <vt:i4>6553636</vt:i4>
      </vt:variant>
      <vt:variant>
        <vt:i4>93</vt:i4>
      </vt:variant>
      <vt:variant>
        <vt:i4>0</vt:i4>
      </vt:variant>
      <vt:variant>
        <vt:i4>5</vt:i4>
      </vt:variant>
      <vt:variant>
        <vt:lpwstr>https://ww2.arb.ca.gov/</vt:lpwstr>
      </vt:variant>
      <vt:variant>
        <vt:lpwstr/>
      </vt:variant>
      <vt:variant>
        <vt:i4>7012389</vt:i4>
      </vt:variant>
      <vt:variant>
        <vt:i4>90</vt:i4>
      </vt:variant>
      <vt:variant>
        <vt:i4>0</vt:i4>
      </vt:variant>
      <vt:variant>
        <vt:i4>5</vt:i4>
      </vt:variant>
      <vt:variant>
        <vt:lpwstr>https://oehha.ca.gov/calenviroscreen/report/calenviroscreen-40</vt:lpwstr>
      </vt:variant>
      <vt:variant>
        <vt:lpwstr/>
      </vt:variant>
      <vt:variant>
        <vt:i4>4259923</vt:i4>
      </vt:variant>
      <vt:variant>
        <vt:i4>87</vt:i4>
      </vt:variant>
      <vt:variant>
        <vt:i4>0</vt:i4>
      </vt:variant>
      <vt:variant>
        <vt:i4>5</vt:i4>
      </vt:variant>
      <vt:variant>
        <vt:lpwstr>https://wildlife.ca.gov/Data/Analysis/ACE</vt:lpwstr>
      </vt:variant>
      <vt:variant>
        <vt:lpwstr/>
      </vt:variant>
      <vt:variant>
        <vt:i4>393306</vt:i4>
      </vt:variant>
      <vt:variant>
        <vt:i4>84</vt:i4>
      </vt:variant>
      <vt:variant>
        <vt:i4>0</vt:i4>
      </vt:variant>
      <vt:variant>
        <vt:i4>5</vt:i4>
      </vt:variant>
      <vt:variant>
        <vt:lpwstr>https://calands.org/</vt:lpwstr>
      </vt:variant>
      <vt:variant>
        <vt:lpwstr/>
      </vt:variant>
      <vt:variant>
        <vt:i4>7340136</vt:i4>
      </vt:variant>
      <vt:variant>
        <vt:i4>81</vt:i4>
      </vt:variant>
      <vt:variant>
        <vt:i4>0</vt:i4>
      </vt:variant>
      <vt:variant>
        <vt:i4>5</vt:i4>
      </vt:variant>
      <vt:variant>
        <vt:lpwstr>https://www.fema.gov/sites/default/files/documents/fema_national-risk-index_technical-documentation.pdf</vt:lpwstr>
      </vt:variant>
      <vt:variant>
        <vt:lpwstr/>
      </vt:variant>
      <vt:variant>
        <vt:i4>4784213</vt:i4>
      </vt:variant>
      <vt:variant>
        <vt:i4>78</vt:i4>
      </vt:variant>
      <vt:variant>
        <vt:i4>0</vt:i4>
      </vt:variant>
      <vt:variant>
        <vt:i4>5</vt:i4>
      </vt:variant>
      <vt:variant>
        <vt:lpwstr>https://hazards.fema.gov/nri/community-resilience</vt:lpwstr>
      </vt:variant>
      <vt:variant>
        <vt:lpwstr/>
      </vt:variant>
      <vt:variant>
        <vt:i4>7340136</vt:i4>
      </vt:variant>
      <vt:variant>
        <vt:i4>75</vt:i4>
      </vt:variant>
      <vt:variant>
        <vt:i4>0</vt:i4>
      </vt:variant>
      <vt:variant>
        <vt:i4>5</vt:i4>
      </vt:variant>
      <vt:variant>
        <vt:lpwstr>https://www.fema.gov/sites/default/files/documents/fema_national-risk-index_technical-documentation.pdf</vt:lpwstr>
      </vt:variant>
      <vt:variant>
        <vt:lpwstr/>
      </vt:variant>
      <vt:variant>
        <vt:i4>393247</vt:i4>
      </vt:variant>
      <vt:variant>
        <vt:i4>72</vt:i4>
      </vt:variant>
      <vt:variant>
        <vt:i4>0</vt:i4>
      </vt:variant>
      <vt:variant>
        <vt:i4>5</vt:i4>
      </vt:variant>
      <vt:variant>
        <vt:lpwstr>https://hazards.fema.gov/nri/social-vulnerability</vt:lpwstr>
      </vt:variant>
      <vt:variant>
        <vt:lpwstr/>
      </vt:variant>
      <vt:variant>
        <vt:i4>4784196</vt:i4>
      </vt:variant>
      <vt:variant>
        <vt:i4>69</vt:i4>
      </vt:variant>
      <vt:variant>
        <vt:i4>0</vt:i4>
      </vt:variant>
      <vt:variant>
        <vt:i4>5</vt:i4>
      </vt:variant>
      <vt:variant>
        <vt:lpwstr>https://hazards.fema.gov/nri/</vt:lpwstr>
      </vt:variant>
      <vt:variant>
        <vt:lpwstr/>
      </vt:variant>
      <vt:variant>
        <vt:i4>4587589</vt:i4>
      </vt:variant>
      <vt:variant>
        <vt:i4>66</vt:i4>
      </vt:variant>
      <vt:variant>
        <vt:i4>0</vt:i4>
      </vt:variant>
      <vt:variant>
        <vt:i4>5</vt:i4>
      </vt:variant>
      <vt:variant>
        <vt:lpwstr>https://www.tripadvisor.com/</vt:lpwstr>
      </vt:variant>
      <vt:variant>
        <vt:lpwstr/>
      </vt:variant>
      <vt:variant>
        <vt:i4>5046301</vt:i4>
      </vt:variant>
      <vt:variant>
        <vt:i4>63</vt:i4>
      </vt:variant>
      <vt:variant>
        <vt:i4>0</vt:i4>
      </vt:variant>
      <vt:variant>
        <vt:i4>5</vt:i4>
      </vt:variant>
      <vt:variant>
        <vt:lpwstr>https://www.caclimateinvestments.ca.gov/</vt:lpwstr>
      </vt:variant>
      <vt:variant>
        <vt:lpwstr/>
      </vt:variant>
      <vt:variant>
        <vt:i4>5046301</vt:i4>
      </vt:variant>
      <vt:variant>
        <vt:i4>60</vt:i4>
      </vt:variant>
      <vt:variant>
        <vt:i4>0</vt:i4>
      </vt:variant>
      <vt:variant>
        <vt:i4>5</vt:i4>
      </vt:variant>
      <vt:variant>
        <vt:lpwstr>https://www.caclimateinvestments.ca.gov/</vt:lpwstr>
      </vt:variant>
      <vt:variant>
        <vt:lpwstr/>
      </vt:variant>
      <vt:variant>
        <vt:i4>4456531</vt:i4>
      </vt:variant>
      <vt:variant>
        <vt:i4>57</vt:i4>
      </vt:variant>
      <vt:variant>
        <vt:i4>0</vt:i4>
      </vt:variant>
      <vt:variant>
        <vt:i4>5</vt:i4>
      </vt:variant>
      <vt:variant>
        <vt:lpwstr>https://www.caclimateinvestments.ca.gov/priority-populations</vt:lpwstr>
      </vt:variant>
      <vt:variant>
        <vt:lpwstr/>
      </vt:variant>
      <vt:variant>
        <vt:i4>5046301</vt:i4>
      </vt:variant>
      <vt:variant>
        <vt:i4>54</vt:i4>
      </vt:variant>
      <vt:variant>
        <vt:i4>0</vt:i4>
      </vt:variant>
      <vt:variant>
        <vt:i4>5</vt:i4>
      </vt:variant>
      <vt:variant>
        <vt:lpwstr>https://www.caclimateinvestments.ca.gov/</vt:lpwstr>
      </vt:variant>
      <vt:variant>
        <vt:lpwstr/>
      </vt:variant>
      <vt:variant>
        <vt:i4>5046301</vt:i4>
      </vt:variant>
      <vt:variant>
        <vt:i4>51</vt:i4>
      </vt:variant>
      <vt:variant>
        <vt:i4>0</vt:i4>
      </vt:variant>
      <vt:variant>
        <vt:i4>5</vt:i4>
      </vt:variant>
      <vt:variant>
        <vt:lpwstr>https://www.caclimateinvestments.ca.gov/</vt:lpwstr>
      </vt:variant>
      <vt:variant>
        <vt:lpwstr/>
      </vt:variant>
      <vt:variant>
        <vt:i4>1376343</vt:i4>
      </vt:variant>
      <vt:variant>
        <vt:i4>48</vt:i4>
      </vt:variant>
      <vt:variant>
        <vt:i4>0</vt:i4>
      </vt:variant>
      <vt:variant>
        <vt:i4>5</vt:i4>
      </vt:variant>
      <vt:variant>
        <vt:lpwstr>https://ww2.arb.ca.gov/our-work/programs/mandatory-greenhouse-gas-emissions-reporting</vt:lpwstr>
      </vt:variant>
      <vt:variant>
        <vt:lpwstr/>
      </vt:variant>
      <vt:variant>
        <vt:i4>4849754</vt:i4>
      </vt:variant>
      <vt:variant>
        <vt:i4>45</vt:i4>
      </vt:variant>
      <vt:variant>
        <vt:i4>0</vt:i4>
      </vt:variant>
      <vt:variant>
        <vt:i4>5</vt:i4>
      </vt:variant>
      <vt:variant>
        <vt:lpwstr>https://www.tripadvisor.com/GreenLeaders</vt:lpwstr>
      </vt:variant>
      <vt:variant>
        <vt:lpwstr/>
      </vt:variant>
      <vt:variant>
        <vt:i4>4456468</vt:i4>
      </vt:variant>
      <vt:variant>
        <vt:i4>42</vt:i4>
      </vt:variant>
      <vt:variant>
        <vt:i4>0</vt:i4>
      </vt:variant>
      <vt:variant>
        <vt:i4>5</vt:i4>
      </vt:variant>
      <vt:variant>
        <vt:lpwstr>https://storymaps.arcgis.com/stories/48ded9841f1c413994a79d31f6fae62e</vt:lpwstr>
      </vt:variant>
      <vt:variant>
        <vt:lpwstr/>
      </vt:variant>
      <vt:variant>
        <vt:i4>3145764</vt:i4>
      </vt:variant>
      <vt:variant>
        <vt:i4>39</vt:i4>
      </vt:variant>
      <vt:variant>
        <vt:i4>0</vt:i4>
      </vt:variant>
      <vt:variant>
        <vt:i4>5</vt:i4>
      </vt:variant>
      <vt:variant>
        <vt:lpwstr>https://planning.lacounty.gov/long-range-planning/climate-action-plan/</vt:lpwstr>
      </vt:variant>
      <vt:variant>
        <vt:lpwstr/>
      </vt:variant>
      <vt:variant>
        <vt:i4>4587564</vt:i4>
      </vt:variant>
      <vt:variant>
        <vt:i4>36</vt:i4>
      </vt:variant>
      <vt:variant>
        <vt:i4>0</vt:i4>
      </vt:variant>
      <vt:variant>
        <vt:i4>5</vt:i4>
      </vt:variant>
      <vt:variant>
        <vt:lpwstr>https://www.smgov.net/uploadedFiles/Departments/OSE/Climate/CAAP_SantaMonica.PDF</vt:lpwstr>
      </vt:variant>
      <vt:variant>
        <vt:lpwstr/>
      </vt:variant>
      <vt:variant>
        <vt:i4>6619232</vt:i4>
      </vt:variant>
      <vt:variant>
        <vt:i4>33</vt:i4>
      </vt:variant>
      <vt:variant>
        <vt:i4>0</vt:i4>
      </vt:variant>
      <vt:variant>
        <vt:i4>5</vt:i4>
      </vt:variant>
      <vt:variant>
        <vt:lpwstr>https://www.risklayer-explorer.com/region/title=California/overview</vt:lpwstr>
      </vt:variant>
      <vt:variant>
        <vt:lpwstr/>
      </vt:variant>
      <vt:variant>
        <vt:i4>1376268</vt:i4>
      </vt:variant>
      <vt:variant>
        <vt:i4>30</vt:i4>
      </vt:variant>
      <vt:variant>
        <vt:i4>0</vt:i4>
      </vt:variant>
      <vt:variant>
        <vt:i4>5</vt:i4>
      </vt:variant>
      <vt:variant>
        <vt:lpwstr>https://www.hudexchange.info/programs/coc/gis-tools/</vt:lpwstr>
      </vt:variant>
      <vt:variant>
        <vt:lpwstr/>
      </vt:variant>
      <vt:variant>
        <vt:i4>7209086</vt:i4>
      </vt:variant>
      <vt:variant>
        <vt:i4>27</vt:i4>
      </vt:variant>
      <vt:variant>
        <vt:i4>0</vt:i4>
      </vt:variant>
      <vt:variant>
        <vt:i4>5</vt:i4>
      </vt:variant>
      <vt:variant>
        <vt:lpwstr>https://covidactnow.org/?s=50083753</vt:lpwstr>
      </vt:variant>
      <vt:variant>
        <vt:lpwstr/>
      </vt:variant>
      <vt:variant>
        <vt:i4>4784196</vt:i4>
      </vt:variant>
      <vt:variant>
        <vt:i4>24</vt:i4>
      </vt:variant>
      <vt:variant>
        <vt:i4>0</vt:i4>
      </vt:variant>
      <vt:variant>
        <vt:i4>5</vt:i4>
      </vt:variant>
      <vt:variant>
        <vt:lpwstr>https://hazards.fema.gov/nri/</vt:lpwstr>
      </vt:variant>
      <vt:variant>
        <vt:lpwstr/>
      </vt:variant>
      <vt:variant>
        <vt:i4>7733292</vt:i4>
      </vt:variant>
      <vt:variant>
        <vt:i4>21</vt:i4>
      </vt:variant>
      <vt:variant>
        <vt:i4>0</vt:i4>
      </vt:variant>
      <vt:variant>
        <vt:i4>5</vt:i4>
      </vt:variant>
      <vt:variant>
        <vt:lpwstr>https://adaptwest.databasin.org/pages/adaptwest-climatena/</vt:lpwstr>
      </vt:variant>
      <vt:variant>
        <vt:lpwstr/>
      </vt:variant>
      <vt:variant>
        <vt:i4>4784196</vt:i4>
      </vt:variant>
      <vt:variant>
        <vt:i4>18</vt:i4>
      </vt:variant>
      <vt:variant>
        <vt:i4>0</vt:i4>
      </vt:variant>
      <vt:variant>
        <vt:i4>5</vt:i4>
      </vt:variant>
      <vt:variant>
        <vt:lpwstr>https://hazards.fema.gov/nri/</vt:lpwstr>
      </vt:variant>
      <vt:variant>
        <vt:lpwstr/>
      </vt:variant>
      <vt:variant>
        <vt:i4>3342401</vt:i4>
      </vt:variant>
      <vt:variant>
        <vt:i4>15</vt:i4>
      </vt:variant>
      <vt:variant>
        <vt:i4>0</vt:i4>
      </vt:variant>
      <vt:variant>
        <vt:i4>5</vt:i4>
      </vt:variant>
      <vt:variant>
        <vt:lpwstr>https://www.fema.gov/sites/default/files/documents/fema_hazus-inventory-national-database-dictionary.pdf</vt:lpwstr>
      </vt:variant>
      <vt:variant>
        <vt:lpwstr/>
      </vt:variant>
      <vt:variant>
        <vt:i4>4718603</vt:i4>
      </vt:variant>
      <vt:variant>
        <vt:i4>9</vt:i4>
      </vt:variant>
      <vt:variant>
        <vt:i4>0</vt:i4>
      </vt:variant>
      <vt:variant>
        <vt:i4>5</vt:i4>
      </vt:variant>
      <vt:variant>
        <vt:lpwstr>https://assets.visitcalifornia.com/media/?mediaId=EBF4ED23-1C19-4A72-A66C4B4882250563</vt:lpwstr>
      </vt:variant>
      <vt:variant>
        <vt:lpwstr/>
      </vt:variant>
      <vt:variant>
        <vt:i4>1048664</vt:i4>
      </vt:variant>
      <vt:variant>
        <vt:i4>3</vt:i4>
      </vt:variant>
      <vt:variant>
        <vt:i4>0</vt:i4>
      </vt:variant>
      <vt:variant>
        <vt:i4>5</vt:i4>
      </vt:variant>
      <vt:variant>
        <vt:lpwstr>https://assets.visitcalifornia.com/media/?mediaId=E35717D0-ADAA-4E28-B9A9388EC158A101</vt:lpwstr>
      </vt:variant>
      <vt:variant>
        <vt:lpwstr/>
      </vt:variant>
      <vt:variant>
        <vt:i4>786485</vt:i4>
      </vt:variant>
      <vt:variant>
        <vt:i4>0</vt:i4>
      </vt:variant>
      <vt:variant>
        <vt:i4>0</vt:i4>
      </vt:variant>
      <vt:variant>
        <vt:i4>5</vt:i4>
      </vt:variant>
      <vt:variant>
        <vt:lpwstr>mailto:regionalplans@visitcalifornia.com</vt:lpwstr>
      </vt:variant>
      <vt:variant>
        <vt:lpwstr/>
      </vt:variant>
      <vt:variant>
        <vt:i4>2490423</vt:i4>
      </vt:variant>
      <vt:variant>
        <vt:i4>0</vt:i4>
      </vt:variant>
      <vt:variant>
        <vt:i4>0</vt:i4>
      </vt:variant>
      <vt:variant>
        <vt:i4>5</vt:i4>
      </vt:variant>
      <vt:variant>
        <vt:lpwstr>https://www.risklayer-explorer.com/region/title=California/detail/California Los Angeles County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Changus</dc:creator>
  <cp:keywords/>
  <dc:description/>
  <cp:lastModifiedBy>Jonathan Changus</cp:lastModifiedBy>
  <cp:revision>20</cp:revision>
  <cp:lastPrinted>2025-04-29T00:01:00Z</cp:lastPrinted>
  <dcterms:created xsi:type="dcterms:W3CDTF">2025-05-01T13:05:00Z</dcterms:created>
  <dcterms:modified xsi:type="dcterms:W3CDTF">2025-05-01T13:26:00Z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0x010100FE485B01E3541E4CAEDC78BC706F4C46</vt:lpwstr>
  </property>
  <property fmtid="{D5CDD505-2E9C-101B-9397-08002B2CF9AE}" pid="3" name="MediaServiceImageTags">
    <vt:lpwstr/>
  </property>
</Properties>
</file>